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EC328">
      <w:pPr>
        <w:spacing w:line="360" w:lineRule="auto"/>
        <w:rPr>
          <w:rFonts w:hAnsi="宋体" w:cs="宋体"/>
          <w:b/>
          <w:sz w:val="36"/>
          <w:szCs w:val="36"/>
        </w:rPr>
      </w:pPr>
    </w:p>
    <w:p w14:paraId="2B55A325">
      <w:pPr>
        <w:spacing w:line="360" w:lineRule="auto"/>
        <w:rPr>
          <w:rFonts w:hAnsi="宋体" w:cs="宋体"/>
          <w:b/>
          <w:sz w:val="30"/>
          <w:szCs w:val="30"/>
        </w:rPr>
      </w:pPr>
      <w:r>
        <w:rPr>
          <w:rFonts w:hint="eastAsia" w:hAnsi="宋体" w:cs="宋体"/>
          <w:b/>
          <w:sz w:val="36"/>
          <w:szCs w:val="36"/>
        </w:rPr>
        <w:t>采购项目名称：</w:t>
      </w:r>
      <w:r>
        <w:rPr>
          <w:rFonts w:hint="eastAsia" w:hAnsi="宋体" w:cs="宋体"/>
          <w:b/>
          <w:sz w:val="30"/>
          <w:szCs w:val="30"/>
        </w:rPr>
        <w:t>仙海城乡供水一体化建设项目取水10KV用电工程 -</w:t>
      </w:r>
    </w:p>
    <w:p w14:paraId="09C47530">
      <w:pPr>
        <w:pStyle w:val="32"/>
      </w:pPr>
      <w:r>
        <w:rPr>
          <w:rFonts w:hint="eastAsia" w:hAnsi="宋体" w:cs="宋体"/>
          <w:b/>
          <w:sz w:val="30"/>
          <w:szCs w:val="30"/>
        </w:rPr>
        <w:t xml:space="preserve">               施工采购</w:t>
      </w:r>
    </w:p>
    <w:p w14:paraId="2735A111">
      <w:pPr>
        <w:spacing w:line="360" w:lineRule="auto"/>
        <w:rPr>
          <w:rFonts w:hAnsi="宋体" w:cs="宋体"/>
          <w:b/>
          <w:sz w:val="36"/>
          <w:szCs w:val="36"/>
        </w:rPr>
      </w:pPr>
      <w:r>
        <w:rPr>
          <w:rFonts w:hint="eastAsia" w:hAnsi="宋体" w:cs="宋体"/>
          <w:b/>
          <w:sz w:val="36"/>
          <w:szCs w:val="36"/>
        </w:rPr>
        <w:t>采购项目编号：</w:t>
      </w:r>
      <w:r>
        <w:rPr>
          <w:rFonts w:hint="eastAsia" w:ascii="黑体" w:hAnsi="黑体" w:eastAsia="黑体" w:cs="黑体"/>
          <w:sz w:val="30"/>
          <w:szCs w:val="30"/>
        </w:rPr>
        <w:t>系统生成为准</w:t>
      </w:r>
    </w:p>
    <w:p w14:paraId="3BCEB8F7">
      <w:pPr>
        <w:spacing w:line="360" w:lineRule="auto"/>
        <w:rPr>
          <w:rFonts w:hAnsi="宋体" w:cs="宋体"/>
          <w:b/>
          <w:sz w:val="36"/>
          <w:szCs w:val="36"/>
        </w:rPr>
      </w:pPr>
    </w:p>
    <w:p w14:paraId="465EA30E">
      <w:pPr>
        <w:pStyle w:val="8"/>
        <w:spacing w:line="360" w:lineRule="auto"/>
        <w:rPr>
          <w:rFonts w:ascii="宋体" w:hAnsi="宋体" w:eastAsia="宋体" w:cs="宋体"/>
          <w:szCs w:val="28"/>
        </w:rPr>
      </w:pPr>
    </w:p>
    <w:p w14:paraId="3F1A9F47">
      <w:pPr>
        <w:spacing w:line="360" w:lineRule="auto"/>
        <w:rPr>
          <w:rFonts w:hAnsi="宋体" w:cs="宋体"/>
          <w:szCs w:val="28"/>
        </w:rPr>
      </w:pPr>
    </w:p>
    <w:p w14:paraId="1361AB8E">
      <w:pPr>
        <w:pStyle w:val="8"/>
        <w:spacing w:line="360" w:lineRule="auto"/>
      </w:pPr>
    </w:p>
    <w:p w14:paraId="5FECBDF7">
      <w:pPr>
        <w:spacing w:line="360" w:lineRule="auto"/>
        <w:jc w:val="center"/>
        <w:rPr>
          <w:rFonts w:hAnsi="宋体" w:cs="宋体"/>
          <w:b/>
          <w:sz w:val="120"/>
          <w:szCs w:val="120"/>
        </w:rPr>
      </w:pPr>
      <w:r>
        <w:rPr>
          <w:rFonts w:hint="eastAsia" w:hAnsi="宋体" w:cs="宋体"/>
          <w:b/>
          <w:sz w:val="120"/>
          <w:szCs w:val="120"/>
        </w:rPr>
        <w:t>竞争性磋商文件</w:t>
      </w:r>
    </w:p>
    <w:p w14:paraId="1FBFF7B6">
      <w:pPr>
        <w:spacing w:line="360" w:lineRule="auto"/>
        <w:rPr>
          <w:rFonts w:hAnsi="宋体" w:cs="宋体"/>
          <w:b/>
          <w:sz w:val="40"/>
          <w:szCs w:val="40"/>
        </w:rPr>
      </w:pPr>
    </w:p>
    <w:p w14:paraId="06540C9F">
      <w:pPr>
        <w:pStyle w:val="8"/>
        <w:spacing w:line="360" w:lineRule="auto"/>
      </w:pPr>
    </w:p>
    <w:p w14:paraId="0C062624">
      <w:pPr>
        <w:pStyle w:val="8"/>
        <w:spacing w:line="360" w:lineRule="auto"/>
        <w:rPr>
          <w:rFonts w:hAnsi="宋体" w:cs="宋体"/>
          <w:b/>
          <w:sz w:val="40"/>
          <w:szCs w:val="40"/>
        </w:rPr>
      </w:pPr>
    </w:p>
    <w:p w14:paraId="362A353F">
      <w:pPr>
        <w:pStyle w:val="8"/>
        <w:spacing w:line="360" w:lineRule="auto"/>
      </w:pPr>
    </w:p>
    <w:p w14:paraId="548561FB">
      <w:pPr>
        <w:spacing w:line="360" w:lineRule="auto"/>
      </w:pPr>
    </w:p>
    <w:p w14:paraId="272996BC">
      <w:pPr>
        <w:spacing w:line="360" w:lineRule="auto"/>
        <w:jc w:val="center"/>
        <w:rPr>
          <w:rFonts w:hAnsi="宋体" w:cs="宋体"/>
          <w:b/>
          <w:sz w:val="36"/>
          <w:szCs w:val="36"/>
        </w:rPr>
      </w:pPr>
      <w:r>
        <w:rPr>
          <w:rFonts w:hint="eastAsia" w:hAnsi="宋体" w:cs="宋体"/>
          <w:b/>
          <w:sz w:val="36"/>
          <w:szCs w:val="36"/>
        </w:rPr>
        <w:t>采购人：</w:t>
      </w:r>
      <w:r>
        <w:rPr>
          <w:rFonts w:hint="eastAsia" w:ascii="黑体" w:hAnsi="黑体" w:eastAsia="黑体" w:cs="黑体"/>
          <w:sz w:val="32"/>
          <w:szCs w:val="32"/>
        </w:rPr>
        <w:t>绵阳仙海环鸿水务有限公司</w:t>
      </w:r>
      <w:r>
        <w:rPr>
          <w:rFonts w:hint="eastAsia" w:hAnsi="宋体" w:cs="宋体"/>
          <w:b/>
          <w:sz w:val="36"/>
          <w:szCs w:val="36"/>
        </w:rPr>
        <w:t xml:space="preserve"> </w:t>
      </w:r>
    </w:p>
    <w:p w14:paraId="1665FBBB">
      <w:pPr>
        <w:spacing w:line="360" w:lineRule="auto"/>
        <w:jc w:val="center"/>
        <w:rPr>
          <w:rFonts w:hAnsi="宋体" w:cs="宋体"/>
          <w:b/>
          <w:sz w:val="36"/>
          <w:szCs w:val="36"/>
        </w:rPr>
      </w:pPr>
      <w:r>
        <w:rPr>
          <w:rFonts w:hint="eastAsia" w:hAnsi="宋体" w:cs="宋体"/>
          <w:b/>
          <w:sz w:val="36"/>
          <w:szCs w:val="36"/>
        </w:rPr>
        <w:t>采购代理机构：</w:t>
      </w:r>
      <w:r>
        <w:rPr>
          <w:rFonts w:hint="eastAsia" w:ascii="黑体" w:hAnsi="黑体" w:eastAsia="黑体" w:cs="黑体"/>
          <w:sz w:val="32"/>
          <w:szCs w:val="32"/>
        </w:rPr>
        <w:t>四川正达建安工程项目管理有限公司</w:t>
      </w:r>
    </w:p>
    <w:p w14:paraId="0EC9C5E1">
      <w:pPr>
        <w:pStyle w:val="8"/>
        <w:spacing w:line="360" w:lineRule="auto"/>
        <w:jc w:val="center"/>
        <w:rPr>
          <w:rFonts w:ascii="宋体" w:hAnsi="宋体" w:eastAsia="宋体" w:cs="宋体"/>
        </w:rPr>
      </w:pPr>
      <w:r>
        <w:rPr>
          <w:rFonts w:hint="eastAsia" w:ascii="宋体" w:hAnsi="宋体" w:eastAsia="宋体" w:cs="宋体"/>
          <w:b/>
          <w:sz w:val="36"/>
          <w:szCs w:val="36"/>
        </w:rPr>
        <w:t>共同编制</w:t>
      </w:r>
    </w:p>
    <w:p w14:paraId="47B20CF7">
      <w:pPr>
        <w:spacing w:line="360" w:lineRule="auto"/>
        <w:jc w:val="center"/>
        <w:rPr>
          <w:rFonts w:hAnsi="宋体" w:cs="宋体"/>
          <w:b/>
          <w:sz w:val="36"/>
          <w:szCs w:val="32"/>
        </w:rPr>
      </w:pPr>
    </w:p>
    <w:p w14:paraId="47BD0BE0">
      <w:pPr>
        <w:spacing w:line="360" w:lineRule="auto"/>
        <w:jc w:val="center"/>
        <w:rPr>
          <w:rStyle w:val="28"/>
          <w:rFonts w:hAnsi="宋体" w:cs="宋体"/>
          <w:b/>
          <w:bCs/>
          <w:sz w:val="20"/>
          <w:szCs w:val="11"/>
          <w:lang w:eastAsia="zh-CN"/>
        </w:rPr>
      </w:pPr>
      <w:r>
        <w:rPr>
          <w:rFonts w:hint="eastAsia" w:hAnsi="宋体" w:cs="宋体"/>
          <w:b/>
          <w:sz w:val="36"/>
          <w:szCs w:val="32"/>
        </w:rPr>
        <w:t>编制时间：202</w:t>
      </w:r>
      <w:r>
        <w:rPr>
          <w:rFonts w:hAnsi="宋体" w:cs="宋体"/>
          <w:b/>
          <w:sz w:val="36"/>
          <w:szCs w:val="32"/>
        </w:rPr>
        <w:t>4</w:t>
      </w:r>
      <w:r>
        <w:rPr>
          <w:rFonts w:hint="eastAsia" w:hAnsi="宋体" w:cs="宋体"/>
          <w:b/>
          <w:sz w:val="36"/>
          <w:szCs w:val="32"/>
        </w:rPr>
        <w:t>年5</w:t>
      </w:r>
      <w:r>
        <w:rPr>
          <w:rFonts w:hint="eastAsia" w:hAnsi="宋体" w:cs="宋体"/>
          <w:b/>
          <w:sz w:val="36"/>
          <w:szCs w:val="32"/>
          <w:lang w:val="zh-CN"/>
        </w:rPr>
        <w:t>月</w:t>
      </w:r>
      <w:r>
        <w:rPr>
          <w:rStyle w:val="28"/>
          <w:rFonts w:hint="eastAsia" w:hAnsi="宋体" w:cs="宋体"/>
          <w:b/>
          <w:bCs/>
          <w:sz w:val="20"/>
          <w:szCs w:val="11"/>
          <w:lang w:eastAsia="zh-CN"/>
        </w:rPr>
        <w:br w:type="page"/>
      </w:r>
      <w:bookmarkStart w:id="0" w:name="_Toc16385"/>
    </w:p>
    <w:sdt>
      <w:sdtPr>
        <w:rPr>
          <w:rFonts w:ascii="宋体" w:hAnsi="Times New Roman" w:eastAsia="宋体" w:cs="Times New Roman"/>
          <w:color w:val="auto"/>
          <w:sz w:val="24"/>
          <w:szCs w:val="22"/>
          <w:lang w:val="zh-CN" w:eastAsia="en-US"/>
        </w:rPr>
        <w:id w:val="2022902545"/>
        <w:docPartObj>
          <w:docPartGallery w:val="Table of Contents"/>
          <w:docPartUnique/>
        </w:docPartObj>
      </w:sdtPr>
      <w:sdtEndPr>
        <w:rPr>
          <w:rFonts w:ascii="宋体" w:hAnsi="Times New Roman" w:eastAsia="宋体" w:cs="Times New Roman"/>
          <w:bCs/>
          <w:color w:val="auto"/>
          <w:sz w:val="24"/>
          <w:szCs w:val="22"/>
          <w:lang w:val="zh-CN" w:eastAsia="en-US"/>
        </w:rPr>
      </w:sdtEndPr>
      <w:sdtContent>
        <w:p w14:paraId="0C2DB2C5">
          <w:pPr>
            <w:pStyle w:val="59"/>
            <w:spacing w:line="360" w:lineRule="auto"/>
            <w:jc w:val="center"/>
          </w:pPr>
          <w:r>
            <w:rPr>
              <w:color w:val="auto"/>
              <w:lang w:val="zh-CN"/>
            </w:rPr>
            <w:t>目</w:t>
          </w:r>
          <w:r>
            <w:rPr>
              <w:rFonts w:hint="eastAsia"/>
              <w:color w:val="auto"/>
              <w:lang w:val="zh-CN"/>
            </w:rPr>
            <w:t xml:space="preserve"> </w:t>
          </w:r>
          <w:r>
            <w:rPr>
              <w:color w:val="auto"/>
              <w:lang w:val="zh-CN"/>
            </w:rPr>
            <w:t xml:space="preserve"> 录</w:t>
          </w:r>
        </w:p>
        <w:p w14:paraId="44C35D8F">
          <w:pPr>
            <w:pStyle w:val="18"/>
            <w:tabs>
              <w:tab w:val="right" w:leader="dot" w:pos="9070"/>
            </w:tabs>
          </w:pPr>
          <w:r>
            <w:fldChar w:fldCharType="begin"/>
          </w:r>
          <w:r>
            <w:instrText xml:space="preserve"> TOC \o "1-3" \h \z \u </w:instrText>
          </w:r>
          <w:r>
            <w:fldChar w:fldCharType="separate"/>
          </w:r>
          <w:r>
            <w:fldChar w:fldCharType="begin"/>
          </w:r>
          <w:r>
            <w:instrText xml:space="preserve"> HYPERLINK \l "_Toc32413" </w:instrText>
          </w:r>
          <w:r>
            <w:fldChar w:fldCharType="separate"/>
          </w:r>
          <w:r>
            <w:rPr>
              <w:rFonts w:hint="eastAsia" w:hAnsi="宋体" w:cs="宋体"/>
              <w:szCs w:val="32"/>
            </w:rPr>
            <w:t>第一章  竞争性磋商邀请</w:t>
          </w:r>
          <w:r>
            <w:tab/>
          </w:r>
          <w:r>
            <w:fldChar w:fldCharType="begin"/>
          </w:r>
          <w:r>
            <w:instrText xml:space="preserve"> PAGEREF _Toc32413 \h </w:instrText>
          </w:r>
          <w:r>
            <w:fldChar w:fldCharType="separate"/>
          </w:r>
          <w:r>
            <w:t>1</w:t>
          </w:r>
          <w:r>
            <w:fldChar w:fldCharType="end"/>
          </w:r>
          <w:r>
            <w:fldChar w:fldCharType="end"/>
          </w:r>
        </w:p>
        <w:p w14:paraId="0D383CFA">
          <w:pPr>
            <w:pStyle w:val="18"/>
            <w:tabs>
              <w:tab w:val="right" w:leader="dot" w:pos="9070"/>
            </w:tabs>
          </w:pPr>
          <w:r>
            <w:fldChar w:fldCharType="begin"/>
          </w:r>
          <w:r>
            <w:instrText xml:space="preserve"> HYPERLINK \l "_Toc6293" </w:instrText>
          </w:r>
          <w:r>
            <w:fldChar w:fldCharType="separate"/>
          </w:r>
          <w:r>
            <w:rPr>
              <w:rFonts w:hint="eastAsia" w:hAnsi="宋体" w:cs="宋体"/>
              <w:szCs w:val="32"/>
            </w:rPr>
            <w:t>第二章  供应商须知</w:t>
          </w:r>
          <w:r>
            <w:tab/>
          </w:r>
          <w:r>
            <w:fldChar w:fldCharType="begin"/>
          </w:r>
          <w:r>
            <w:instrText xml:space="preserve"> PAGEREF _Toc6293 \h </w:instrText>
          </w:r>
          <w:r>
            <w:fldChar w:fldCharType="separate"/>
          </w:r>
          <w:r>
            <w:t>4</w:t>
          </w:r>
          <w:r>
            <w:fldChar w:fldCharType="end"/>
          </w:r>
          <w:r>
            <w:fldChar w:fldCharType="end"/>
          </w:r>
        </w:p>
        <w:p w14:paraId="068101CE">
          <w:pPr>
            <w:pStyle w:val="20"/>
            <w:tabs>
              <w:tab w:val="right" w:leader="dot" w:pos="9070"/>
            </w:tabs>
            <w:ind w:left="480"/>
          </w:pPr>
          <w:r>
            <w:fldChar w:fldCharType="begin"/>
          </w:r>
          <w:r>
            <w:instrText xml:space="preserve"> HYPERLINK \l "_Toc5635" </w:instrText>
          </w:r>
          <w:r>
            <w:fldChar w:fldCharType="separate"/>
          </w:r>
          <w:r>
            <w:rPr>
              <w:rFonts w:hint="eastAsia" w:hAnsi="宋体" w:cs="宋体"/>
              <w:szCs w:val="24"/>
            </w:rPr>
            <w:t>一、供应商须知前附表</w:t>
          </w:r>
          <w:r>
            <w:tab/>
          </w:r>
          <w:r>
            <w:fldChar w:fldCharType="begin"/>
          </w:r>
          <w:r>
            <w:instrText xml:space="preserve"> PAGEREF _Toc5635 \h </w:instrText>
          </w:r>
          <w:r>
            <w:fldChar w:fldCharType="separate"/>
          </w:r>
          <w:r>
            <w:t>4</w:t>
          </w:r>
          <w:r>
            <w:fldChar w:fldCharType="end"/>
          </w:r>
          <w:r>
            <w:fldChar w:fldCharType="end"/>
          </w:r>
        </w:p>
        <w:p w14:paraId="7ADDF12C">
          <w:pPr>
            <w:pStyle w:val="20"/>
            <w:tabs>
              <w:tab w:val="right" w:leader="dot" w:pos="9070"/>
            </w:tabs>
            <w:ind w:left="480"/>
          </w:pPr>
          <w:r>
            <w:fldChar w:fldCharType="begin"/>
          </w:r>
          <w:r>
            <w:instrText xml:space="preserve"> HYPERLINK \l "_Toc11750" </w:instrText>
          </w:r>
          <w:r>
            <w:fldChar w:fldCharType="separate"/>
          </w:r>
          <w:r>
            <w:rPr>
              <w:rFonts w:hint="eastAsia" w:hAnsi="宋体" w:cs="宋体"/>
              <w:szCs w:val="24"/>
            </w:rPr>
            <w:t>二、总则</w:t>
          </w:r>
          <w:r>
            <w:tab/>
          </w:r>
          <w:r>
            <w:fldChar w:fldCharType="begin"/>
          </w:r>
          <w:r>
            <w:instrText xml:space="preserve"> PAGEREF _Toc11750 \h </w:instrText>
          </w:r>
          <w:r>
            <w:fldChar w:fldCharType="separate"/>
          </w:r>
          <w:r>
            <w:t>6</w:t>
          </w:r>
          <w:r>
            <w:fldChar w:fldCharType="end"/>
          </w:r>
          <w:r>
            <w:fldChar w:fldCharType="end"/>
          </w:r>
        </w:p>
        <w:p w14:paraId="6AC665D9">
          <w:pPr>
            <w:pStyle w:val="11"/>
            <w:tabs>
              <w:tab w:val="right" w:leader="dot" w:pos="9070"/>
            </w:tabs>
            <w:ind w:left="960"/>
          </w:pPr>
          <w:r>
            <w:fldChar w:fldCharType="begin"/>
          </w:r>
          <w:r>
            <w:instrText xml:space="preserve"> HYPERLINK \l "_Toc7978" </w:instrText>
          </w:r>
          <w:r>
            <w:fldChar w:fldCharType="separate"/>
          </w:r>
          <w:r>
            <w:rPr>
              <w:rFonts w:hint="eastAsia" w:hAnsi="宋体" w:cs="宋体"/>
              <w:szCs w:val="24"/>
            </w:rPr>
            <w:t>1、适用范围</w:t>
          </w:r>
          <w:r>
            <w:tab/>
          </w:r>
          <w:r>
            <w:fldChar w:fldCharType="begin"/>
          </w:r>
          <w:r>
            <w:instrText xml:space="preserve"> PAGEREF _Toc7978 \h </w:instrText>
          </w:r>
          <w:r>
            <w:fldChar w:fldCharType="separate"/>
          </w:r>
          <w:r>
            <w:t>6</w:t>
          </w:r>
          <w:r>
            <w:fldChar w:fldCharType="end"/>
          </w:r>
          <w:r>
            <w:fldChar w:fldCharType="end"/>
          </w:r>
        </w:p>
        <w:p w14:paraId="7A3C9201">
          <w:pPr>
            <w:pStyle w:val="11"/>
            <w:tabs>
              <w:tab w:val="right" w:leader="dot" w:pos="9070"/>
            </w:tabs>
            <w:ind w:left="960"/>
          </w:pPr>
          <w:r>
            <w:fldChar w:fldCharType="begin"/>
          </w:r>
          <w:r>
            <w:instrText xml:space="preserve"> HYPERLINK \l "_Toc9287" </w:instrText>
          </w:r>
          <w:r>
            <w:fldChar w:fldCharType="separate"/>
          </w:r>
          <w:r>
            <w:rPr>
              <w:rFonts w:hint="eastAsia" w:hAnsi="宋体" w:cs="宋体"/>
              <w:szCs w:val="24"/>
            </w:rPr>
            <w:t>2、有关定义</w:t>
          </w:r>
          <w:r>
            <w:tab/>
          </w:r>
          <w:r>
            <w:fldChar w:fldCharType="begin"/>
          </w:r>
          <w:r>
            <w:instrText xml:space="preserve"> PAGEREF _Toc9287 \h </w:instrText>
          </w:r>
          <w:r>
            <w:fldChar w:fldCharType="separate"/>
          </w:r>
          <w:r>
            <w:t>6</w:t>
          </w:r>
          <w:r>
            <w:fldChar w:fldCharType="end"/>
          </w:r>
          <w:r>
            <w:fldChar w:fldCharType="end"/>
          </w:r>
        </w:p>
        <w:p w14:paraId="08F88DAA">
          <w:pPr>
            <w:pStyle w:val="11"/>
            <w:tabs>
              <w:tab w:val="right" w:leader="dot" w:pos="9070"/>
            </w:tabs>
            <w:ind w:left="960"/>
          </w:pPr>
          <w:r>
            <w:fldChar w:fldCharType="begin"/>
          </w:r>
          <w:r>
            <w:instrText xml:space="preserve"> HYPERLINK \l "_Toc16166" </w:instrText>
          </w:r>
          <w:r>
            <w:fldChar w:fldCharType="separate"/>
          </w:r>
          <w:r>
            <w:rPr>
              <w:rFonts w:hint="eastAsia" w:hAnsi="宋体" w:cs="宋体"/>
              <w:szCs w:val="24"/>
            </w:rPr>
            <w:t>3、合格的供应商应具备以下条件：</w:t>
          </w:r>
          <w:r>
            <w:tab/>
          </w:r>
          <w:r>
            <w:fldChar w:fldCharType="begin"/>
          </w:r>
          <w:r>
            <w:instrText xml:space="preserve"> PAGEREF _Toc16166 \h </w:instrText>
          </w:r>
          <w:r>
            <w:fldChar w:fldCharType="separate"/>
          </w:r>
          <w:r>
            <w:t>6</w:t>
          </w:r>
          <w:r>
            <w:fldChar w:fldCharType="end"/>
          </w:r>
          <w:r>
            <w:fldChar w:fldCharType="end"/>
          </w:r>
        </w:p>
        <w:p w14:paraId="054F468A">
          <w:pPr>
            <w:pStyle w:val="11"/>
            <w:tabs>
              <w:tab w:val="right" w:leader="dot" w:pos="9070"/>
            </w:tabs>
            <w:ind w:left="960"/>
          </w:pPr>
          <w:r>
            <w:fldChar w:fldCharType="begin"/>
          </w:r>
          <w:r>
            <w:instrText xml:space="preserve"> HYPERLINK \l "_Toc4373" </w:instrText>
          </w:r>
          <w:r>
            <w:fldChar w:fldCharType="separate"/>
          </w:r>
          <w:r>
            <w:rPr>
              <w:rFonts w:hint="eastAsia" w:hAnsi="宋体" w:cs="宋体"/>
              <w:szCs w:val="24"/>
            </w:rPr>
            <w:t>4、磋商费用</w:t>
          </w:r>
          <w:r>
            <w:tab/>
          </w:r>
          <w:r>
            <w:fldChar w:fldCharType="begin"/>
          </w:r>
          <w:r>
            <w:instrText xml:space="preserve"> PAGEREF _Toc4373 \h </w:instrText>
          </w:r>
          <w:r>
            <w:fldChar w:fldCharType="separate"/>
          </w:r>
          <w:r>
            <w:t>7</w:t>
          </w:r>
          <w:r>
            <w:fldChar w:fldCharType="end"/>
          </w:r>
          <w:r>
            <w:fldChar w:fldCharType="end"/>
          </w:r>
        </w:p>
        <w:p w14:paraId="4C4AD9D3">
          <w:pPr>
            <w:pStyle w:val="11"/>
            <w:tabs>
              <w:tab w:val="right" w:leader="dot" w:pos="9070"/>
            </w:tabs>
            <w:ind w:left="960"/>
          </w:pPr>
          <w:r>
            <w:fldChar w:fldCharType="begin"/>
          </w:r>
          <w:r>
            <w:instrText xml:space="preserve"> HYPERLINK \l "_Toc4115" </w:instrText>
          </w:r>
          <w:r>
            <w:fldChar w:fldCharType="separate"/>
          </w:r>
          <w:r>
            <w:rPr>
              <w:rFonts w:hint="eastAsia" w:hAnsi="宋体" w:cs="宋体"/>
              <w:szCs w:val="24"/>
            </w:rPr>
            <w:t>5、充分、公平竞争保障措施（实质性要求）</w:t>
          </w:r>
          <w:r>
            <w:tab/>
          </w:r>
          <w:r>
            <w:fldChar w:fldCharType="begin"/>
          </w:r>
          <w:r>
            <w:instrText xml:space="preserve"> PAGEREF _Toc4115 \h </w:instrText>
          </w:r>
          <w:r>
            <w:fldChar w:fldCharType="separate"/>
          </w:r>
          <w:r>
            <w:t>7</w:t>
          </w:r>
          <w:r>
            <w:fldChar w:fldCharType="end"/>
          </w:r>
          <w:r>
            <w:fldChar w:fldCharType="end"/>
          </w:r>
        </w:p>
        <w:p w14:paraId="09D1131B">
          <w:pPr>
            <w:pStyle w:val="20"/>
            <w:tabs>
              <w:tab w:val="right" w:leader="dot" w:pos="9070"/>
            </w:tabs>
            <w:ind w:left="480"/>
          </w:pPr>
          <w:r>
            <w:fldChar w:fldCharType="begin"/>
          </w:r>
          <w:r>
            <w:instrText xml:space="preserve"> HYPERLINK \l "_Toc24424" </w:instrText>
          </w:r>
          <w:r>
            <w:fldChar w:fldCharType="separate"/>
          </w:r>
          <w:r>
            <w:rPr>
              <w:rFonts w:hint="eastAsia" w:hAnsi="宋体" w:cs="宋体"/>
              <w:szCs w:val="24"/>
            </w:rPr>
            <w:t>三、竞争性磋商文件</w:t>
          </w:r>
          <w:r>
            <w:tab/>
          </w:r>
          <w:r>
            <w:fldChar w:fldCharType="begin"/>
          </w:r>
          <w:r>
            <w:instrText xml:space="preserve"> PAGEREF _Toc24424 \h </w:instrText>
          </w:r>
          <w:r>
            <w:fldChar w:fldCharType="separate"/>
          </w:r>
          <w:r>
            <w:t>9</w:t>
          </w:r>
          <w:r>
            <w:fldChar w:fldCharType="end"/>
          </w:r>
          <w:r>
            <w:fldChar w:fldCharType="end"/>
          </w:r>
        </w:p>
        <w:p w14:paraId="31EC2DEF">
          <w:pPr>
            <w:pStyle w:val="11"/>
            <w:tabs>
              <w:tab w:val="right" w:leader="dot" w:pos="9070"/>
            </w:tabs>
            <w:ind w:left="960"/>
          </w:pPr>
          <w:r>
            <w:fldChar w:fldCharType="begin"/>
          </w:r>
          <w:r>
            <w:instrText xml:space="preserve"> HYPERLINK \l "_Toc19562" </w:instrText>
          </w:r>
          <w:r>
            <w:fldChar w:fldCharType="separate"/>
          </w:r>
          <w:r>
            <w:rPr>
              <w:rFonts w:hint="eastAsia" w:hAnsi="宋体" w:cs="宋体"/>
              <w:szCs w:val="24"/>
            </w:rPr>
            <w:t>1、竞争性磋商文件（以下简称磋商文件）的构成</w:t>
          </w:r>
          <w:r>
            <w:tab/>
          </w:r>
          <w:r>
            <w:fldChar w:fldCharType="begin"/>
          </w:r>
          <w:r>
            <w:instrText xml:space="preserve"> PAGEREF _Toc19562 \h </w:instrText>
          </w:r>
          <w:r>
            <w:fldChar w:fldCharType="separate"/>
          </w:r>
          <w:r>
            <w:t>9</w:t>
          </w:r>
          <w:r>
            <w:fldChar w:fldCharType="end"/>
          </w:r>
          <w:r>
            <w:fldChar w:fldCharType="end"/>
          </w:r>
        </w:p>
        <w:p w14:paraId="5317B61B">
          <w:pPr>
            <w:pStyle w:val="11"/>
            <w:tabs>
              <w:tab w:val="right" w:leader="dot" w:pos="9070"/>
            </w:tabs>
            <w:ind w:left="960"/>
          </w:pPr>
          <w:r>
            <w:fldChar w:fldCharType="begin"/>
          </w:r>
          <w:r>
            <w:instrText xml:space="preserve"> HYPERLINK \l "_Toc29837" </w:instrText>
          </w:r>
          <w:r>
            <w:fldChar w:fldCharType="separate"/>
          </w:r>
          <w:r>
            <w:rPr>
              <w:rFonts w:hint="eastAsia" w:hAnsi="宋体" w:cs="宋体"/>
              <w:szCs w:val="24"/>
            </w:rPr>
            <w:t>2、磋商文件的澄清和修改</w:t>
          </w:r>
          <w:r>
            <w:tab/>
          </w:r>
          <w:r>
            <w:fldChar w:fldCharType="begin"/>
          </w:r>
          <w:r>
            <w:instrText xml:space="preserve"> PAGEREF _Toc29837 \h </w:instrText>
          </w:r>
          <w:r>
            <w:fldChar w:fldCharType="separate"/>
          </w:r>
          <w:r>
            <w:t>9</w:t>
          </w:r>
          <w:r>
            <w:fldChar w:fldCharType="end"/>
          </w:r>
          <w:r>
            <w:fldChar w:fldCharType="end"/>
          </w:r>
        </w:p>
        <w:p w14:paraId="49A466CD">
          <w:pPr>
            <w:pStyle w:val="20"/>
            <w:tabs>
              <w:tab w:val="right" w:leader="dot" w:pos="9070"/>
            </w:tabs>
            <w:ind w:left="480"/>
          </w:pPr>
          <w:r>
            <w:fldChar w:fldCharType="begin"/>
          </w:r>
          <w:r>
            <w:instrText xml:space="preserve"> HYPERLINK \l "_Toc28186" </w:instrText>
          </w:r>
          <w:r>
            <w:fldChar w:fldCharType="separate"/>
          </w:r>
          <w:r>
            <w:rPr>
              <w:rFonts w:hint="eastAsia" w:hAnsi="宋体" w:cs="宋体"/>
              <w:szCs w:val="24"/>
            </w:rPr>
            <w:t>四、响应文件</w:t>
          </w:r>
          <w:r>
            <w:tab/>
          </w:r>
          <w:r>
            <w:fldChar w:fldCharType="begin"/>
          </w:r>
          <w:r>
            <w:instrText xml:space="preserve"> PAGEREF _Toc28186 \h </w:instrText>
          </w:r>
          <w:r>
            <w:fldChar w:fldCharType="separate"/>
          </w:r>
          <w:r>
            <w:t>10</w:t>
          </w:r>
          <w:r>
            <w:fldChar w:fldCharType="end"/>
          </w:r>
          <w:r>
            <w:fldChar w:fldCharType="end"/>
          </w:r>
        </w:p>
        <w:p w14:paraId="5C696EB9">
          <w:pPr>
            <w:pStyle w:val="11"/>
            <w:tabs>
              <w:tab w:val="right" w:leader="dot" w:pos="9070"/>
            </w:tabs>
            <w:ind w:left="960"/>
          </w:pPr>
          <w:r>
            <w:fldChar w:fldCharType="begin"/>
          </w:r>
          <w:r>
            <w:instrText xml:space="preserve"> HYPERLINK \l "_Toc11590" </w:instrText>
          </w:r>
          <w:r>
            <w:fldChar w:fldCharType="separate"/>
          </w:r>
          <w:r>
            <w:rPr>
              <w:rFonts w:hint="eastAsia" w:hAnsi="宋体" w:cs="宋体"/>
              <w:szCs w:val="24"/>
            </w:rPr>
            <w:t>1、响应文件的语言（实质性要求）</w:t>
          </w:r>
          <w:r>
            <w:tab/>
          </w:r>
          <w:r>
            <w:fldChar w:fldCharType="begin"/>
          </w:r>
          <w:r>
            <w:instrText xml:space="preserve"> PAGEREF _Toc11590 \h </w:instrText>
          </w:r>
          <w:r>
            <w:fldChar w:fldCharType="separate"/>
          </w:r>
          <w:r>
            <w:t>10</w:t>
          </w:r>
          <w:r>
            <w:fldChar w:fldCharType="end"/>
          </w:r>
          <w:r>
            <w:fldChar w:fldCharType="end"/>
          </w:r>
        </w:p>
        <w:p w14:paraId="362E0083">
          <w:pPr>
            <w:pStyle w:val="11"/>
            <w:tabs>
              <w:tab w:val="right" w:leader="dot" w:pos="9070"/>
            </w:tabs>
            <w:ind w:left="960"/>
          </w:pPr>
          <w:r>
            <w:fldChar w:fldCharType="begin"/>
          </w:r>
          <w:r>
            <w:instrText xml:space="preserve"> HYPERLINK \l "_Toc10042" </w:instrText>
          </w:r>
          <w:r>
            <w:fldChar w:fldCharType="separate"/>
          </w:r>
          <w:r>
            <w:rPr>
              <w:rFonts w:hint="eastAsia" w:hAnsi="宋体" w:cs="宋体"/>
              <w:szCs w:val="24"/>
            </w:rPr>
            <w:t>2、计量单位（实质性要求）</w:t>
          </w:r>
          <w:r>
            <w:tab/>
          </w:r>
          <w:r>
            <w:fldChar w:fldCharType="begin"/>
          </w:r>
          <w:r>
            <w:instrText xml:space="preserve"> PAGEREF _Toc10042 \h </w:instrText>
          </w:r>
          <w:r>
            <w:fldChar w:fldCharType="separate"/>
          </w:r>
          <w:r>
            <w:t>10</w:t>
          </w:r>
          <w:r>
            <w:fldChar w:fldCharType="end"/>
          </w:r>
          <w:r>
            <w:fldChar w:fldCharType="end"/>
          </w:r>
        </w:p>
        <w:p w14:paraId="6C6DEF7D">
          <w:pPr>
            <w:pStyle w:val="11"/>
            <w:tabs>
              <w:tab w:val="right" w:leader="dot" w:pos="9070"/>
            </w:tabs>
            <w:ind w:left="960"/>
          </w:pPr>
          <w:r>
            <w:fldChar w:fldCharType="begin"/>
          </w:r>
          <w:r>
            <w:instrText xml:space="preserve"> HYPERLINK \l "_Toc8736" </w:instrText>
          </w:r>
          <w:r>
            <w:fldChar w:fldCharType="separate"/>
          </w:r>
          <w:r>
            <w:rPr>
              <w:rFonts w:hint="eastAsia" w:hAnsi="宋体" w:cs="宋体"/>
              <w:szCs w:val="24"/>
            </w:rPr>
            <w:t>3、磋商货币（实质性要求）</w:t>
          </w:r>
          <w:r>
            <w:tab/>
          </w:r>
          <w:r>
            <w:fldChar w:fldCharType="begin"/>
          </w:r>
          <w:r>
            <w:instrText xml:space="preserve"> PAGEREF _Toc8736 \h </w:instrText>
          </w:r>
          <w:r>
            <w:fldChar w:fldCharType="separate"/>
          </w:r>
          <w:r>
            <w:t>10</w:t>
          </w:r>
          <w:r>
            <w:fldChar w:fldCharType="end"/>
          </w:r>
          <w:r>
            <w:fldChar w:fldCharType="end"/>
          </w:r>
        </w:p>
        <w:p w14:paraId="20AD8003">
          <w:pPr>
            <w:pStyle w:val="11"/>
            <w:tabs>
              <w:tab w:val="right" w:leader="dot" w:pos="9070"/>
            </w:tabs>
            <w:ind w:left="960"/>
          </w:pPr>
          <w:r>
            <w:fldChar w:fldCharType="begin"/>
          </w:r>
          <w:r>
            <w:instrText xml:space="preserve"> HYPERLINK \l "_Toc2458" </w:instrText>
          </w:r>
          <w:r>
            <w:fldChar w:fldCharType="separate"/>
          </w:r>
          <w:r>
            <w:rPr>
              <w:rFonts w:hint="eastAsia" w:hAnsi="宋体" w:cs="宋体"/>
              <w:szCs w:val="24"/>
            </w:rPr>
            <w:t>4、响应文件的组成</w:t>
          </w:r>
          <w:r>
            <w:tab/>
          </w:r>
          <w:r>
            <w:fldChar w:fldCharType="begin"/>
          </w:r>
          <w:r>
            <w:instrText xml:space="preserve"> PAGEREF _Toc2458 \h </w:instrText>
          </w:r>
          <w:r>
            <w:fldChar w:fldCharType="separate"/>
          </w:r>
          <w:r>
            <w:t>10</w:t>
          </w:r>
          <w:r>
            <w:fldChar w:fldCharType="end"/>
          </w:r>
          <w:r>
            <w:fldChar w:fldCharType="end"/>
          </w:r>
        </w:p>
        <w:p w14:paraId="2A28DB14">
          <w:pPr>
            <w:pStyle w:val="11"/>
            <w:tabs>
              <w:tab w:val="right" w:leader="dot" w:pos="9070"/>
            </w:tabs>
            <w:ind w:left="960"/>
          </w:pPr>
          <w:r>
            <w:fldChar w:fldCharType="begin"/>
          </w:r>
          <w:r>
            <w:instrText xml:space="preserve"> HYPERLINK \l "_Toc21340" </w:instrText>
          </w:r>
          <w:r>
            <w:fldChar w:fldCharType="separate"/>
          </w:r>
          <w:r>
            <w:rPr>
              <w:rFonts w:hint="eastAsia" w:hAnsi="宋体" w:cs="宋体"/>
              <w:szCs w:val="24"/>
            </w:rPr>
            <w:t>5、响应文件的印制和签署</w:t>
          </w:r>
          <w:r>
            <w:tab/>
          </w:r>
          <w:r>
            <w:fldChar w:fldCharType="begin"/>
          </w:r>
          <w:r>
            <w:instrText xml:space="preserve"> PAGEREF _Toc21340 \h </w:instrText>
          </w:r>
          <w:r>
            <w:fldChar w:fldCharType="separate"/>
          </w:r>
          <w:r>
            <w:t>11</w:t>
          </w:r>
          <w:r>
            <w:fldChar w:fldCharType="end"/>
          </w:r>
          <w:r>
            <w:fldChar w:fldCharType="end"/>
          </w:r>
        </w:p>
        <w:p w14:paraId="630391F3">
          <w:pPr>
            <w:pStyle w:val="11"/>
            <w:tabs>
              <w:tab w:val="right" w:leader="dot" w:pos="9070"/>
            </w:tabs>
            <w:ind w:left="960"/>
          </w:pPr>
          <w:r>
            <w:fldChar w:fldCharType="begin"/>
          </w:r>
          <w:r>
            <w:instrText xml:space="preserve"> HYPERLINK \l "_Toc7030" </w:instrText>
          </w:r>
          <w:r>
            <w:fldChar w:fldCharType="separate"/>
          </w:r>
          <w:r>
            <w:rPr>
              <w:rFonts w:hint="eastAsia" w:hAnsi="宋体" w:cs="宋体"/>
              <w:szCs w:val="24"/>
            </w:rPr>
            <w:t>6、响应文件的密封和标注</w:t>
          </w:r>
          <w:r>
            <w:tab/>
          </w:r>
          <w:r>
            <w:fldChar w:fldCharType="begin"/>
          </w:r>
          <w:r>
            <w:instrText xml:space="preserve"> PAGEREF _Toc7030 \h </w:instrText>
          </w:r>
          <w:r>
            <w:fldChar w:fldCharType="separate"/>
          </w:r>
          <w:r>
            <w:t>11</w:t>
          </w:r>
          <w:r>
            <w:fldChar w:fldCharType="end"/>
          </w:r>
          <w:r>
            <w:fldChar w:fldCharType="end"/>
          </w:r>
        </w:p>
        <w:p w14:paraId="5687B629">
          <w:pPr>
            <w:pStyle w:val="11"/>
            <w:tabs>
              <w:tab w:val="right" w:leader="dot" w:pos="9070"/>
            </w:tabs>
            <w:ind w:left="960"/>
          </w:pPr>
          <w:r>
            <w:fldChar w:fldCharType="begin"/>
          </w:r>
          <w:r>
            <w:instrText xml:space="preserve"> HYPERLINK \l "_Toc8510" </w:instrText>
          </w:r>
          <w:r>
            <w:fldChar w:fldCharType="separate"/>
          </w:r>
          <w:r>
            <w:rPr>
              <w:rFonts w:hint="eastAsia" w:hAnsi="宋体" w:cs="宋体"/>
              <w:szCs w:val="24"/>
            </w:rPr>
            <w:t>7、响应文件的递交、修改和撤回</w:t>
          </w:r>
          <w:r>
            <w:tab/>
          </w:r>
          <w:r>
            <w:fldChar w:fldCharType="begin"/>
          </w:r>
          <w:r>
            <w:instrText xml:space="preserve"> PAGEREF _Toc8510 \h </w:instrText>
          </w:r>
          <w:r>
            <w:fldChar w:fldCharType="separate"/>
          </w:r>
          <w:r>
            <w:t>12</w:t>
          </w:r>
          <w:r>
            <w:fldChar w:fldCharType="end"/>
          </w:r>
          <w:r>
            <w:fldChar w:fldCharType="end"/>
          </w:r>
        </w:p>
        <w:p w14:paraId="2E4022E5">
          <w:pPr>
            <w:pStyle w:val="11"/>
            <w:tabs>
              <w:tab w:val="right" w:leader="dot" w:pos="9070"/>
            </w:tabs>
            <w:ind w:left="960"/>
          </w:pPr>
          <w:r>
            <w:fldChar w:fldCharType="begin"/>
          </w:r>
          <w:r>
            <w:instrText xml:space="preserve"> HYPERLINK \l "_Toc19216" </w:instrText>
          </w:r>
          <w:r>
            <w:fldChar w:fldCharType="separate"/>
          </w:r>
          <w:r>
            <w:rPr>
              <w:rFonts w:hint="eastAsia" w:hAnsi="宋体" w:cs="宋体"/>
              <w:szCs w:val="24"/>
            </w:rPr>
            <w:t>8、响应文件不予受理情形</w:t>
          </w:r>
          <w:r>
            <w:tab/>
          </w:r>
          <w:r>
            <w:fldChar w:fldCharType="begin"/>
          </w:r>
          <w:r>
            <w:instrText xml:space="preserve"> PAGEREF _Toc19216 \h </w:instrText>
          </w:r>
          <w:r>
            <w:fldChar w:fldCharType="separate"/>
          </w:r>
          <w:r>
            <w:t>12</w:t>
          </w:r>
          <w:r>
            <w:fldChar w:fldCharType="end"/>
          </w:r>
          <w:r>
            <w:fldChar w:fldCharType="end"/>
          </w:r>
        </w:p>
        <w:p w14:paraId="47157CC6">
          <w:pPr>
            <w:pStyle w:val="20"/>
            <w:tabs>
              <w:tab w:val="right" w:leader="dot" w:pos="9070"/>
            </w:tabs>
            <w:ind w:left="480"/>
          </w:pPr>
          <w:r>
            <w:fldChar w:fldCharType="begin"/>
          </w:r>
          <w:r>
            <w:instrText xml:space="preserve"> HYPERLINK \l "_Toc23493" </w:instrText>
          </w:r>
          <w:r>
            <w:fldChar w:fldCharType="separate"/>
          </w:r>
          <w:r>
            <w:rPr>
              <w:rFonts w:hAnsi="宋体" w:cs="宋体"/>
              <w:szCs w:val="24"/>
            </w:rPr>
            <w:t>五、</w:t>
          </w:r>
          <w:r>
            <w:rPr>
              <w:rFonts w:hint="eastAsia" w:hAnsi="宋体" w:cs="宋体"/>
              <w:szCs w:val="24"/>
            </w:rPr>
            <w:t>磋商保证金</w:t>
          </w:r>
          <w:r>
            <w:tab/>
          </w:r>
          <w:r>
            <w:fldChar w:fldCharType="begin"/>
          </w:r>
          <w:r>
            <w:instrText xml:space="preserve"> PAGEREF _Toc23493 \h </w:instrText>
          </w:r>
          <w:r>
            <w:fldChar w:fldCharType="separate"/>
          </w:r>
          <w:r>
            <w:t>12</w:t>
          </w:r>
          <w:r>
            <w:fldChar w:fldCharType="end"/>
          </w:r>
          <w:r>
            <w:fldChar w:fldCharType="end"/>
          </w:r>
        </w:p>
        <w:p w14:paraId="71163D9B">
          <w:pPr>
            <w:pStyle w:val="20"/>
            <w:tabs>
              <w:tab w:val="right" w:leader="dot" w:pos="9070"/>
            </w:tabs>
            <w:ind w:left="480"/>
          </w:pPr>
          <w:r>
            <w:fldChar w:fldCharType="begin"/>
          </w:r>
          <w:r>
            <w:instrText xml:space="preserve"> HYPERLINK \l "_Toc20" </w:instrText>
          </w:r>
          <w:r>
            <w:fldChar w:fldCharType="separate"/>
          </w:r>
          <w:r>
            <w:rPr>
              <w:rFonts w:hint="eastAsia" w:hAnsi="宋体" w:cs="宋体"/>
              <w:szCs w:val="24"/>
            </w:rPr>
            <w:t>六、磋商</w:t>
          </w:r>
          <w:r>
            <w:tab/>
          </w:r>
          <w:r>
            <w:fldChar w:fldCharType="begin"/>
          </w:r>
          <w:r>
            <w:instrText xml:space="preserve"> PAGEREF _Toc20 \h </w:instrText>
          </w:r>
          <w:r>
            <w:fldChar w:fldCharType="separate"/>
          </w:r>
          <w:r>
            <w:t>13</w:t>
          </w:r>
          <w:r>
            <w:fldChar w:fldCharType="end"/>
          </w:r>
          <w:r>
            <w:fldChar w:fldCharType="end"/>
          </w:r>
        </w:p>
        <w:p w14:paraId="4FFF42A6">
          <w:pPr>
            <w:pStyle w:val="20"/>
            <w:tabs>
              <w:tab w:val="right" w:leader="dot" w:pos="9070"/>
            </w:tabs>
            <w:ind w:left="480"/>
          </w:pPr>
          <w:r>
            <w:fldChar w:fldCharType="begin"/>
          </w:r>
          <w:r>
            <w:instrText xml:space="preserve"> HYPERLINK \l "_Toc19726" </w:instrText>
          </w:r>
          <w:r>
            <w:fldChar w:fldCharType="separate"/>
          </w:r>
          <w:r>
            <w:rPr>
              <w:rFonts w:hint="eastAsia" w:hAnsi="宋体" w:cs="宋体"/>
              <w:szCs w:val="24"/>
            </w:rPr>
            <w:t>七、磋商过程存档</w:t>
          </w:r>
          <w:r>
            <w:tab/>
          </w:r>
          <w:r>
            <w:fldChar w:fldCharType="begin"/>
          </w:r>
          <w:r>
            <w:instrText xml:space="preserve"> PAGEREF _Toc19726 \h </w:instrText>
          </w:r>
          <w:r>
            <w:fldChar w:fldCharType="separate"/>
          </w:r>
          <w:r>
            <w:t>13</w:t>
          </w:r>
          <w:r>
            <w:fldChar w:fldCharType="end"/>
          </w:r>
          <w:r>
            <w:fldChar w:fldCharType="end"/>
          </w:r>
        </w:p>
        <w:p w14:paraId="0EDDBE64">
          <w:pPr>
            <w:pStyle w:val="20"/>
            <w:tabs>
              <w:tab w:val="right" w:leader="dot" w:pos="9070"/>
            </w:tabs>
            <w:ind w:left="480"/>
          </w:pPr>
          <w:r>
            <w:fldChar w:fldCharType="begin"/>
          </w:r>
          <w:r>
            <w:instrText xml:space="preserve"> HYPERLINK \l "_Toc16603" </w:instrText>
          </w:r>
          <w:r>
            <w:fldChar w:fldCharType="separate"/>
          </w:r>
          <w:r>
            <w:rPr>
              <w:rFonts w:hint="eastAsia" w:hAnsi="宋体" w:cs="宋体"/>
              <w:szCs w:val="24"/>
            </w:rPr>
            <w:t>八、磋商纪律要求</w:t>
          </w:r>
          <w:r>
            <w:tab/>
          </w:r>
          <w:r>
            <w:fldChar w:fldCharType="begin"/>
          </w:r>
          <w:r>
            <w:instrText xml:space="preserve"> PAGEREF _Toc16603 \h </w:instrText>
          </w:r>
          <w:r>
            <w:fldChar w:fldCharType="separate"/>
          </w:r>
          <w:r>
            <w:t>14</w:t>
          </w:r>
          <w:r>
            <w:fldChar w:fldCharType="end"/>
          </w:r>
          <w:r>
            <w:fldChar w:fldCharType="end"/>
          </w:r>
        </w:p>
        <w:p w14:paraId="3D01CCAC">
          <w:pPr>
            <w:pStyle w:val="11"/>
            <w:tabs>
              <w:tab w:val="right" w:leader="dot" w:pos="9070"/>
            </w:tabs>
            <w:ind w:left="960"/>
          </w:pPr>
          <w:r>
            <w:fldChar w:fldCharType="begin"/>
          </w:r>
          <w:r>
            <w:instrText xml:space="preserve"> HYPERLINK \l "_Toc31735" </w:instrText>
          </w:r>
          <w:r>
            <w:fldChar w:fldCharType="separate"/>
          </w:r>
          <w:r>
            <w:rPr>
              <w:rFonts w:hint="eastAsia" w:hAnsi="宋体" w:cs="宋体"/>
              <w:szCs w:val="24"/>
            </w:rPr>
            <w:t>1、供应商不得具有的情形</w:t>
          </w:r>
          <w:r>
            <w:tab/>
          </w:r>
          <w:r>
            <w:fldChar w:fldCharType="begin"/>
          </w:r>
          <w:r>
            <w:instrText xml:space="preserve"> PAGEREF _Toc31735 \h </w:instrText>
          </w:r>
          <w:r>
            <w:fldChar w:fldCharType="separate"/>
          </w:r>
          <w:r>
            <w:t>14</w:t>
          </w:r>
          <w:r>
            <w:fldChar w:fldCharType="end"/>
          </w:r>
          <w:r>
            <w:fldChar w:fldCharType="end"/>
          </w:r>
        </w:p>
        <w:p w14:paraId="61D330F2">
          <w:pPr>
            <w:pStyle w:val="11"/>
            <w:tabs>
              <w:tab w:val="right" w:leader="dot" w:pos="9070"/>
            </w:tabs>
            <w:ind w:left="960"/>
          </w:pPr>
          <w:r>
            <w:fldChar w:fldCharType="begin"/>
          </w:r>
          <w:r>
            <w:instrText xml:space="preserve"> HYPERLINK \l "_Toc21261" </w:instrText>
          </w:r>
          <w:r>
            <w:fldChar w:fldCharType="separate"/>
          </w:r>
          <w:r>
            <w:rPr>
              <w:rFonts w:hint="eastAsia" w:hAnsi="宋体" w:cs="宋体"/>
              <w:szCs w:val="24"/>
            </w:rPr>
            <w:t>2、供应商失信行为及处理</w:t>
          </w:r>
          <w:r>
            <w:tab/>
          </w:r>
          <w:r>
            <w:fldChar w:fldCharType="begin"/>
          </w:r>
          <w:r>
            <w:instrText xml:space="preserve"> PAGEREF _Toc21261 \h </w:instrText>
          </w:r>
          <w:r>
            <w:fldChar w:fldCharType="separate"/>
          </w:r>
          <w:r>
            <w:t>14</w:t>
          </w:r>
          <w:r>
            <w:fldChar w:fldCharType="end"/>
          </w:r>
          <w:r>
            <w:fldChar w:fldCharType="end"/>
          </w:r>
        </w:p>
        <w:p w14:paraId="2416DC6E">
          <w:pPr>
            <w:pStyle w:val="11"/>
            <w:tabs>
              <w:tab w:val="right" w:leader="dot" w:pos="9070"/>
            </w:tabs>
            <w:ind w:left="960"/>
          </w:pPr>
          <w:r>
            <w:fldChar w:fldCharType="begin"/>
          </w:r>
          <w:r>
            <w:instrText xml:space="preserve"> HYPERLINK \l "_Toc4285" </w:instrText>
          </w:r>
          <w:r>
            <w:fldChar w:fldCharType="separate"/>
          </w:r>
          <w:r>
            <w:rPr>
              <w:rFonts w:hint="eastAsia" w:hAnsi="宋体" w:cs="宋体"/>
              <w:szCs w:val="24"/>
            </w:rPr>
            <w:t>3、供应商违法行为及处理</w:t>
          </w:r>
          <w:r>
            <w:tab/>
          </w:r>
          <w:r>
            <w:fldChar w:fldCharType="begin"/>
          </w:r>
          <w:r>
            <w:instrText xml:space="preserve"> PAGEREF _Toc4285 \h </w:instrText>
          </w:r>
          <w:r>
            <w:fldChar w:fldCharType="separate"/>
          </w:r>
          <w:r>
            <w:t>15</w:t>
          </w:r>
          <w:r>
            <w:fldChar w:fldCharType="end"/>
          </w:r>
          <w:r>
            <w:fldChar w:fldCharType="end"/>
          </w:r>
        </w:p>
        <w:p w14:paraId="1BE63DAB">
          <w:pPr>
            <w:pStyle w:val="20"/>
            <w:tabs>
              <w:tab w:val="right" w:leader="dot" w:pos="9070"/>
            </w:tabs>
            <w:ind w:left="480"/>
          </w:pPr>
          <w:r>
            <w:fldChar w:fldCharType="begin"/>
          </w:r>
          <w:r>
            <w:instrText xml:space="preserve"> HYPERLINK \l "_Toc14912" </w:instrText>
          </w:r>
          <w:r>
            <w:fldChar w:fldCharType="separate"/>
          </w:r>
          <w:r>
            <w:rPr>
              <w:rFonts w:hint="eastAsia" w:hAnsi="宋体" w:cs="宋体"/>
              <w:szCs w:val="24"/>
            </w:rPr>
            <w:t>九、确认成交及发放通知书</w:t>
          </w:r>
          <w:r>
            <w:tab/>
          </w:r>
          <w:r>
            <w:fldChar w:fldCharType="begin"/>
          </w:r>
          <w:r>
            <w:instrText xml:space="preserve"> PAGEREF _Toc14912 \h </w:instrText>
          </w:r>
          <w:r>
            <w:fldChar w:fldCharType="separate"/>
          </w:r>
          <w:r>
            <w:t>15</w:t>
          </w:r>
          <w:r>
            <w:fldChar w:fldCharType="end"/>
          </w:r>
          <w:r>
            <w:fldChar w:fldCharType="end"/>
          </w:r>
        </w:p>
        <w:p w14:paraId="4CB028C0">
          <w:pPr>
            <w:pStyle w:val="11"/>
            <w:tabs>
              <w:tab w:val="right" w:leader="dot" w:pos="9070"/>
            </w:tabs>
            <w:ind w:left="960"/>
          </w:pPr>
          <w:r>
            <w:fldChar w:fldCharType="begin"/>
          </w:r>
          <w:r>
            <w:instrText xml:space="preserve"> HYPERLINK \l "_Toc21421" </w:instrText>
          </w:r>
          <w:r>
            <w:fldChar w:fldCharType="separate"/>
          </w:r>
          <w:r>
            <w:rPr>
              <w:rFonts w:hint="eastAsia" w:hAnsi="宋体" w:cs="宋体"/>
              <w:szCs w:val="24"/>
            </w:rPr>
            <w:t>1、成交供应商的确定</w:t>
          </w:r>
          <w:r>
            <w:tab/>
          </w:r>
          <w:r>
            <w:fldChar w:fldCharType="begin"/>
          </w:r>
          <w:r>
            <w:instrText xml:space="preserve"> PAGEREF _Toc21421 \h </w:instrText>
          </w:r>
          <w:r>
            <w:fldChar w:fldCharType="separate"/>
          </w:r>
          <w:r>
            <w:t>15</w:t>
          </w:r>
          <w:r>
            <w:fldChar w:fldCharType="end"/>
          </w:r>
          <w:r>
            <w:fldChar w:fldCharType="end"/>
          </w:r>
        </w:p>
        <w:p w14:paraId="55DA2797">
          <w:pPr>
            <w:pStyle w:val="11"/>
            <w:tabs>
              <w:tab w:val="right" w:leader="dot" w:pos="9070"/>
            </w:tabs>
            <w:ind w:left="960"/>
          </w:pPr>
          <w:r>
            <w:fldChar w:fldCharType="begin"/>
          </w:r>
          <w:r>
            <w:instrText xml:space="preserve"> HYPERLINK \l "_Toc19575" </w:instrText>
          </w:r>
          <w:r>
            <w:fldChar w:fldCharType="separate"/>
          </w:r>
          <w:r>
            <w:rPr>
              <w:rFonts w:hint="eastAsia" w:hAnsi="宋体" w:cs="宋体"/>
              <w:szCs w:val="24"/>
            </w:rPr>
            <w:t>2、成交通知书</w:t>
          </w:r>
          <w:r>
            <w:tab/>
          </w:r>
          <w:r>
            <w:fldChar w:fldCharType="begin"/>
          </w:r>
          <w:r>
            <w:instrText xml:space="preserve"> PAGEREF _Toc19575 \h </w:instrText>
          </w:r>
          <w:r>
            <w:fldChar w:fldCharType="separate"/>
          </w:r>
          <w:r>
            <w:t>15</w:t>
          </w:r>
          <w:r>
            <w:fldChar w:fldCharType="end"/>
          </w:r>
          <w:r>
            <w:fldChar w:fldCharType="end"/>
          </w:r>
        </w:p>
        <w:p w14:paraId="3B265D2F">
          <w:pPr>
            <w:pStyle w:val="20"/>
            <w:tabs>
              <w:tab w:val="right" w:leader="dot" w:pos="9070"/>
            </w:tabs>
            <w:ind w:left="480"/>
          </w:pPr>
          <w:r>
            <w:fldChar w:fldCharType="begin"/>
          </w:r>
          <w:r>
            <w:instrText xml:space="preserve"> HYPERLINK \l "_Toc15895" </w:instrText>
          </w:r>
          <w:r>
            <w:fldChar w:fldCharType="separate"/>
          </w:r>
          <w:r>
            <w:rPr>
              <w:rFonts w:hint="eastAsia" w:hAnsi="宋体" w:cs="宋体"/>
              <w:szCs w:val="24"/>
            </w:rPr>
            <w:t>十、签订及履行合同和验收</w:t>
          </w:r>
          <w:r>
            <w:tab/>
          </w:r>
          <w:r>
            <w:fldChar w:fldCharType="begin"/>
          </w:r>
          <w:r>
            <w:instrText xml:space="preserve"> PAGEREF _Toc15895 \h </w:instrText>
          </w:r>
          <w:r>
            <w:fldChar w:fldCharType="separate"/>
          </w:r>
          <w:r>
            <w:t>16</w:t>
          </w:r>
          <w:r>
            <w:fldChar w:fldCharType="end"/>
          </w:r>
          <w:r>
            <w:fldChar w:fldCharType="end"/>
          </w:r>
        </w:p>
        <w:p w14:paraId="067C3F0B">
          <w:pPr>
            <w:pStyle w:val="11"/>
            <w:tabs>
              <w:tab w:val="right" w:leader="dot" w:pos="9070"/>
            </w:tabs>
            <w:ind w:left="960"/>
          </w:pPr>
          <w:r>
            <w:fldChar w:fldCharType="begin"/>
          </w:r>
          <w:r>
            <w:instrText xml:space="preserve"> HYPERLINK \l "_Toc5041" </w:instrText>
          </w:r>
          <w:r>
            <w:fldChar w:fldCharType="separate"/>
          </w:r>
          <w:r>
            <w:rPr>
              <w:rFonts w:hint="eastAsia" w:hAnsi="宋体" w:cs="宋体"/>
              <w:bCs/>
              <w:szCs w:val="24"/>
            </w:rPr>
            <w:t>1、签订合同</w:t>
          </w:r>
          <w:r>
            <w:tab/>
          </w:r>
          <w:r>
            <w:fldChar w:fldCharType="begin"/>
          </w:r>
          <w:r>
            <w:instrText xml:space="preserve"> PAGEREF _Toc5041 \h </w:instrText>
          </w:r>
          <w:r>
            <w:fldChar w:fldCharType="separate"/>
          </w:r>
          <w:r>
            <w:t>16</w:t>
          </w:r>
          <w:r>
            <w:fldChar w:fldCharType="end"/>
          </w:r>
          <w:r>
            <w:fldChar w:fldCharType="end"/>
          </w:r>
        </w:p>
        <w:p w14:paraId="75F591CB">
          <w:pPr>
            <w:pStyle w:val="11"/>
            <w:tabs>
              <w:tab w:val="right" w:leader="dot" w:pos="9070"/>
            </w:tabs>
            <w:ind w:left="960"/>
          </w:pPr>
          <w:r>
            <w:fldChar w:fldCharType="begin"/>
          </w:r>
          <w:r>
            <w:instrText xml:space="preserve"> HYPERLINK \l "_Toc6181" </w:instrText>
          </w:r>
          <w:r>
            <w:fldChar w:fldCharType="separate"/>
          </w:r>
          <w:r>
            <w:rPr>
              <w:rFonts w:hint="eastAsia" w:hAnsi="宋体" w:cs="宋体"/>
              <w:bCs/>
              <w:szCs w:val="24"/>
            </w:rPr>
            <w:t>2、合同分包、转包（实质性要求）</w:t>
          </w:r>
          <w:r>
            <w:tab/>
          </w:r>
          <w:r>
            <w:fldChar w:fldCharType="begin"/>
          </w:r>
          <w:r>
            <w:instrText xml:space="preserve"> PAGEREF _Toc6181 \h </w:instrText>
          </w:r>
          <w:r>
            <w:fldChar w:fldCharType="separate"/>
          </w:r>
          <w:r>
            <w:t>16</w:t>
          </w:r>
          <w:r>
            <w:fldChar w:fldCharType="end"/>
          </w:r>
          <w:r>
            <w:fldChar w:fldCharType="end"/>
          </w:r>
        </w:p>
        <w:p w14:paraId="2ED3F72F">
          <w:pPr>
            <w:pStyle w:val="11"/>
            <w:tabs>
              <w:tab w:val="right" w:leader="dot" w:pos="9070"/>
            </w:tabs>
            <w:ind w:left="960"/>
          </w:pPr>
          <w:r>
            <w:fldChar w:fldCharType="begin"/>
          </w:r>
          <w:r>
            <w:instrText xml:space="preserve"> HYPERLINK \l "_Toc11502" </w:instrText>
          </w:r>
          <w:r>
            <w:fldChar w:fldCharType="separate"/>
          </w:r>
          <w:r>
            <w:rPr>
              <w:rFonts w:hint="eastAsia" w:hAnsi="宋体" w:cs="宋体"/>
              <w:bCs/>
              <w:szCs w:val="24"/>
            </w:rPr>
            <w:t>3、采购人增加合同标的权利</w:t>
          </w:r>
          <w:r>
            <w:tab/>
          </w:r>
          <w:r>
            <w:fldChar w:fldCharType="begin"/>
          </w:r>
          <w:r>
            <w:instrText xml:space="preserve"> PAGEREF _Toc11502 \h </w:instrText>
          </w:r>
          <w:r>
            <w:fldChar w:fldCharType="separate"/>
          </w:r>
          <w:r>
            <w:t>16</w:t>
          </w:r>
          <w:r>
            <w:fldChar w:fldCharType="end"/>
          </w:r>
          <w:r>
            <w:fldChar w:fldCharType="end"/>
          </w:r>
        </w:p>
        <w:p w14:paraId="212F6D4B">
          <w:pPr>
            <w:pStyle w:val="11"/>
            <w:tabs>
              <w:tab w:val="right" w:leader="dot" w:pos="9070"/>
            </w:tabs>
            <w:ind w:left="960"/>
          </w:pPr>
          <w:r>
            <w:fldChar w:fldCharType="begin"/>
          </w:r>
          <w:r>
            <w:instrText xml:space="preserve"> HYPERLINK \l "_Toc12884" </w:instrText>
          </w:r>
          <w:r>
            <w:fldChar w:fldCharType="separate"/>
          </w:r>
          <w:r>
            <w:rPr>
              <w:rFonts w:hint="eastAsia" w:hAnsi="宋体" w:cs="宋体"/>
              <w:bCs/>
              <w:szCs w:val="24"/>
            </w:rPr>
            <w:t>4、履行合同</w:t>
          </w:r>
          <w:r>
            <w:tab/>
          </w:r>
          <w:r>
            <w:fldChar w:fldCharType="begin"/>
          </w:r>
          <w:r>
            <w:instrText xml:space="preserve"> PAGEREF _Toc12884 \h </w:instrText>
          </w:r>
          <w:r>
            <w:fldChar w:fldCharType="separate"/>
          </w:r>
          <w:r>
            <w:t>17</w:t>
          </w:r>
          <w:r>
            <w:fldChar w:fldCharType="end"/>
          </w:r>
          <w:r>
            <w:fldChar w:fldCharType="end"/>
          </w:r>
        </w:p>
        <w:p w14:paraId="7E264CF4">
          <w:pPr>
            <w:pStyle w:val="11"/>
            <w:tabs>
              <w:tab w:val="right" w:leader="dot" w:pos="9070"/>
            </w:tabs>
            <w:ind w:left="960"/>
          </w:pPr>
          <w:r>
            <w:fldChar w:fldCharType="begin"/>
          </w:r>
          <w:r>
            <w:instrText xml:space="preserve"> HYPERLINK \l "_Toc6223" </w:instrText>
          </w:r>
          <w:r>
            <w:fldChar w:fldCharType="separate"/>
          </w:r>
          <w:r>
            <w:rPr>
              <w:rFonts w:hint="eastAsia" w:hAnsi="宋体" w:cs="宋体"/>
              <w:bCs/>
              <w:szCs w:val="24"/>
            </w:rPr>
            <w:t>5、履约验收</w:t>
          </w:r>
          <w:r>
            <w:tab/>
          </w:r>
          <w:r>
            <w:fldChar w:fldCharType="begin"/>
          </w:r>
          <w:r>
            <w:instrText xml:space="preserve"> PAGEREF _Toc6223 \h </w:instrText>
          </w:r>
          <w:r>
            <w:fldChar w:fldCharType="separate"/>
          </w:r>
          <w:r>
            <w:t>17</w:t>
          </w:r>
          <w:r>
            <w:fldChar w:fldCharType="end"/>
          </w:r>
          <w:r>
            <w:fldChar w:fldCharType="end"/>
          </w:r>
        </w:p>
        <w:p w14:paraId="42F3FF5A">
          <w:pPr>
            <w:pStyle w:val="20"/>
            <w:tabs>
              <w:tab w:val="right" w:leader="dot" w:pos="9070"/>
            </w:tabs>
            <w:ind w:left="480"/>
          </w:pPr>
          <w:r>
            <w:fldChar w:fldCharType="begin"/>
          </w:r>
          <w:r>
            <w:instrText xml:space="preserve"> HYPERLINK \l "_Toc32652" </w:instrText>
          </w:r>
          <w:r>
            <w:fldChar w:fldCharType="separate"/>
          </w:r>
          <w:r>
            <w:rPr>
              <w:rFonts w:hint="eastAsia" w:hAnsi="宋体" w:cs="宋体"/>
              <w:szCs w:val="24"/>
            </w:rPr>
            <w:t>十一、付款申请</w:t>
          </w:r>
          <w:r>
            <w:tab/>
          </w:r>
          <w:r>
            <w:fldChar w:fldCharType="begin"/>
          </w:r>
          <w:r>
            <w:instrText xml:space="preserve"> PAGEREF _Toc32652 \h </w:instrText>
          </w:r>
          <w:r>
            <w:fldChar w:fldCharType="separate"/>
          </w:r>
          <w:r>
            <w:t>17</w:t>
          </w:r>
          <w:r>
            <w:fldChar w:fldCharType="end"/>
          </w:r>
          <w:r>
            <w:fldChar w:fldCharType="end"/>
          </w:r>
        </w:p>
        <w:p w14:paraId="0E67D332">
          <w:pPr>
            <w:pStyle w:val="20"/>
            <w:tabs>
              <w:tab w:val="right" w:leader="dot" w:pos="9070"/>
            </w:tabs>
            <w:ind w:left="480"/>
          </w:pPr>
          <w:r>
            <w:fldChar w:fldCharType="begin"/>
          </w:r>
          <w:r>
            <w:instrText xml:space="preserve"> HYPERLINK \l "_Toc19257" </w:instrText>
          </w:r>
          <w:r>
            <w:fldChar w:fldCharType="separate"/>
          </w:r>
          <w:r>
            <w:rPr>
              <w:rFonts w:hint="eastAsia" w:hAnsi="宋体" w:cs="宋体"/>
              <w:szCs w:val="24"/>
            </w:rPr>
            <w:t>十二、询问、质疑和投诉</w:t>
          </w:r>
          <w:r>
            <w:tab/>
          </w:r>
          <w:r>
            <w:fldChar w:fldCharType="begin"/>
          </w:r>
          <w:r>
            <w:instrText xml:space="preserve"> PAGEREF _Toc19257 \h </w:instrText>
          </w:r>
          <w:r>
            <w:fldChar w:fldCharType="separate"/>
          </w:r>
          <w:r>
            <w:t>17</w:t>
          </w:r>
          <w:r>
            <w:fldChar w:fldCharType="end"/>
          </w:r>
          <w:r>
            <w:fldChar w:fldCharType="end"/>
          </w:r>
        </w:p>
        <w:p w14:paraId="41809086">
          <w:pPr>
            <w:pStyle w:val="18"/>
            <w:tabs>
              <w:tab w:val="right" w:leader="dot" w:pos="9070"/>
            </w:tabs>
          </w:pPr>
          <w:r>
            <w:fldChar w:fldCharType="begin"/>
          </w:r>
          <w:r>
            <w:instrText xml:space="preserve"> HYPERLINK \l "_Toc7341" </w:instrText>
          </w:r>
          <w:r>
            <w:fldChar w:fldCharType="separate"/>
          </w:r>
          <w:r>
            <w:rPr>
              <w:rFonts w:hint="eastAsia" w:hAnsi="宋体" w:cs="宋体"/>
              <w:szCs w:val="32"/>
            </w:rPr>
            <w:t>第三章  供应商、磋商服务应当提供的资格、资质性及其他类似效力要求的相关证明材料</w:t>
          </w:r>
          <w:r>
            <w:tab/>
          </w:r>
          <w:r>
            <w:fldChar w:fldCharType="begin"/>
          </w:r>
          <w:r>
            <w:instrText xml:space="preserve"> PAGEREF _Toc7341 \h </w:instrText>
          </w:r>
          <w:r>
            <w:fldChar w:fldCharType="separate"/>
          </w:r>
          <w:r>
            <w:t>19</w:t>
          </w:r>
          <w:r>
            <w:fldChar w:fldCharType="end"/>
          </w:r>
          <w:r>
            <w:fldChar w:fldCharType="end"/>
          </w:r>
        </w:p>
        <w:p w14:paraId="6530A0CB">
          <w:pPr>
            <w:pStyle w:val="18"/>
            <w:tabs>
              <w:tab w:val="right" w:leader="dot" w:pos="9070"/>
            </w:tabs>
          </w:pPr>
          <w:r>
            <w:fldChar w:fldCharType="begin"/>
          </w:r>
          <w:r>
            <w:instrText xml:space="preserve"> HYPERLINK \l "_Toc183" </w:instrText>
          </w:r>
          <w:r>
            <w:fldChar w:fldCharType="separate"/>
          </w:r>
          <w:r>
            <w:rPr>
              <w:rFonts w:hint="eastAsia" w:cs="宋体" w:asciiTheme="minorEastAsia" w:hAnsiTheme="minorEastAsia" w:eastAsiaTheme="minorEastAsia"/>
              <w:szCs w:val="32"/>
            </w:rPr>
            <w:t xml:space="preserve">第四章 </w:t>
          </w:r>
          <w:r>
            <w:rPr>
              <w:rFonts w:cs="宋体" w:asciiTheme="minorEastAsia" w:hAnsiTheme="minorEastAsia" w:eastAsiaTheme="minorEastAsia"/>
              <w:szCs w:val="32"/>
            </w:rPr>
            <w:t xml:space="preserve"> </w:t>
          </w:r>
          <w:r>
            <w:rPr>
              <w:rFonts w:hint="eastAsia" w:cs="宋体" w:asciiTheme="minorEastAsia" w:hAnsiTheme="minorEastAsia" w:eastAsiaTheme="minorEastAsia"/>
              <w:szCs w:val="32"/>
            </w:rPr>
            <w:t>采购项目技术、商务及其他要求</w:t>
          </w:r>
          <w:r>
            <w:tab/>
          </w:r>
          <w:r>
            <w:fldChar w:fldCharType="begin"/>
          </w:r>
          <w:r>
            <w:instrText xml:space="preserve"> PAGEREF _Toc183 \h </w:instrText>
          </w:r>
          <w:r>
            <w:fldChar w:fldCharType="separate"/>
          </w:r>
          <w:r>
            <w:t>21</w:t>
          </w:r>
          <w:r>
            <w:fldChar w:fldCharType="end"/>
          </w:r>
          <w:r>
            <w:fldChar w:fldCharType="end"/>
          </w:r>
        </w:p>
        <w:p w14:paraId="70EB42EA">
          <w:pPr>
            <w:pStyle w:val="20"/>
            <w:tabs>
              <w:tab w:val="right" w:leader="dot" w:pos="9070"/>
            </w:tabs>
            <w:ind w:left="480"/>
          </w:pPr>
          <w:r>
            <w:fldChar w:fldCharType="begin"/>
          </w:r>
          <w:r>
            <w:instrText xml:space="preserve"> HYPERLINK \l "_Toc9515" </w:instrText>
          </w:r>
          <w:r>
            <w:fldChar w:fldCharType="separate"/>
          </w:r>
          <w:r>
            <w:rPr>
              <w:rFonts w:hint="eastAsia" w:cs="仿宋"/>
              <w:szCs w:val="28"/>
            </w:rPr>
            <w:t>一、项目概述</w:t>
          </w:r>
          <w:r>
            <w:tab/>
          </w:r>
          <w:r>
            <w:fldChar w:fldCharType="begin"/>
          </w:r>
          <w:r>
            <w:instrText xml:space="preserve"> PAGEREF _Toc9515 \h </w:instrText>
          </w:r>
          <w:r>
            <w:fldChar w:fldCharType="separate"/>
          </w:r>
          <w:r>
            <w:t>21</w:t>
          </w:r>
          <w:r>
            <w:fldChar w:fldCharType="end"/>
          </w:r>
          <w:r>
            <w:fldChar w:fldCharType="end"/>
          </w:r>
        </w:p>
        <w:p w14:paraId="55CA18DA">
          <w:pPr>
            <w:pStyle w:val="20"/>
            <w:tabs>
              <w:tab w:val="right" w:leader="dot" w:pos="9070"/>
            </w:tabs>
            <w:ind w:left="480"/>
          </w:pPr>
          <w:r>
            <w:fldChar w:fldCharType="begin"/>
          </w:r>
          <w:r>
            <w:instrText xml:space="preserve"> HYPERLINK \l "_Toc32334" </w:instrText>
          </w:r>
          <w:r>
            <w:fldChar w:fldCharType="separate"/>
          </w:r>
          <w:r>
            <w:rPr>
              <w:rFonts w:hint="eastAsia" w:cs="仿宋"/>
              <w:szCs w:val="28"/>
            </w:rPr>
            <w:t>二、采购标的</w:t>
          </w:r>
          <w:r>
            <w:tab/>
          </w:r>
          <w:r>
            <w:fldChar w:fldCharType="begin"/>
          </w:r>
          <w:r>
            <w:instrText xml:space="preserve"> PAGEREF _Toc32334 \h </w:instrText>
          </w:r>
          <w:r>
            <w:fldChar w:fldCharType="separate"/>
          </w:r>
          <w:r>
            <w:t>21</w:t>
          </w:r>
          <w:r>
            <w:fldChar w:fldCharType="end"/>
          </w:r>
          <w:r>
            <w:fldChar w:fldCharType="end"/>
          </w:r>
        </w:p>
        <w:p w14:paraId="55921C74">
          <w:pPr>
            <w:pStyle w:val="20"/>
            <w:tabs>
              <w:tab w:val="right" w:leader="dot" w:pos="9070"/>
            </w:tabs>
            <w:ind w:left="480"/>
          </w:pPr>
          <w:r>
            <w:fldChar w:fldCharType="begin"/>
          </w:r>
          <w:r>
            <w:instrText xml:space="preserve"> HYPERLINK \l "_Toc14039" </w:instrText>
          </w:r>
          <w:r>
            <w:fldChar w:fldCharType="separate"/>
          </w:r>
          <w:r>
            <w:rPr>
              <w:rFonts w:hint="eastAsia" w:cs="仿宋"/>
              <w:szCs w:val="28"/>
            </w:rPr>
            <w:t>三、★技术要求</w:t>
          </w:r>
          <w:r>
            <w:tab/>
          </w:r>
          <w:r>
            <w:fldChar w:fldCharType="begin"/>
          </w:r>
          <w:r>
            <w:instrText xml:space="preserve"> PAGEREF _Toc14039 \h </w:instrText>
          </w:r>
          <w:r>
            <w:fldChar w:fldCharType="separate"/>
          </w:r>
          <w:r>
            <w:t>21</w:t>
          </w:r>
          <w:r>
            <w:fldChar w:fldCharType="end"/>
          </w:r>
          <w:r>
            <w:fldChar w:fldCharType="end"/>
          </w:r>
        </w:p>
        <w:p w14:paraId="40EF4600">
          <w:pPr>
            <w:pStyle w:val="20"/>
            <w:tabs>
              <w:tab w:val="right" w:leader="dot" w:pos="9070"/>
            </w:tabs>
            <w:ind w:left="480"/>
          </w:pPr>
          <w:r>
            <w:fldChar w:fldCharType="begin"/>
          </w:r>
          <w:r>
            <w:instrText xml:space="preserve"> HYPERLINK \l "_Toc15123" </w:instrText>
          </w:r>
          <w:r>
            <w:fldChar w:fldCharType="separate"/>
          </w:r>
          <w:r>
            <w:rPr>
              <w:rFonts w:hint="eastAsia" w:cs="仿宋"/>
              <w:szCs w:val="28"/>
            </w:rPr>
            <w:t>四、★商务要求</w:t>
          </w:r>
          <w:r>
            <w:tab/>
          </w:r>
          <w:r>
            <w:fldChar w:fldCharType="begin"/>
          </w:r>
          <w:r>
            <w:instrText xml:space="preserve"> PAGEREF _Toc15123 \h </w:instrText>
          </w:r>
          <w:r>
            <w:fldChar w:fldCharType="separate"/>
          </w:r>
          <w:r>
            <w:t>36</w:t>
          </w:r>
          <w:r>
            <w:fldChar w:fldCharType="end"/>
          </w:r>
          <w:r>
            <w:fldChar w:fldCharType="end"/>
          </w:r>
        </w:p>
        <w:p w14:paraId="0F3FC333">
          <w:pPr>
            <w:pStyle w:val="18"/>
            <w:tabs>
              <w:tab w:val="right" w:leader="dot" w:pos="9070"/>
            </w:tabs>
          </w:pPr>
          <w:r>
            <w:fldChar w:fldCharType="begin"/>
          </w:r>
          <w:r>
            <w:instrText xml:space="preserve"> HYPERLINK \l "_Toc11428" </w:instrText>
          </w:r>
          <w:r>
            <w:fldChar w:fldCharType="separate"/>
          </w:r>
          <w:r>
            <w:rPr>
              <w:rFonts w:hint="eastAsia" w:cs="宋体" w:asciiTheme="minorEastAsia" w:hAnsiTheme="minorEastAsia" w:eastAsiaTheme="minorEastAsia"/>
              <w:szCs w:val="32"/>
            </w:rPr>
            <w:t>第五章  响应文件格式</w:t>
          </w:r>
          <w:r>
            <w:tab/>
          </w:r>
          <w:r>
            <w:fldChar w:fldCharType="begin"/>
          </w:r>
          <w:r>
            <w:instrText xml:space="preserve"> PAGEREF _Toc11428 \h </w:instrText>
          </w:r>
          <w:r>
            <w:fldChar w:fldCharType="separate"/>
          </w:r>
          <w:r>
            <w:t>39</w:t>
          </w:r>
          <w:r>
            <w:fldChar w:fldCharType="end"/>
          </w:r>
          <w:r>
            <w:fldChar w:fldCharType="end"/>
          </w:r>
        </w:p>
        <w:p w14:paraId="07230329">
          <w:pPr>
            <w:pStyle w:val="20"/>
            <w:tabs>
              <w:tab w:val="right" w:leader="dot" w:pos="9070"/>
            </w:tabs>
            <w:ind w:left="480"/>
          </w:pPr>
          <w:r>
            <w:fldChar w:fldCharType="begin"/>
          </w:r>
          <w:r>
            <w:instrText xml:space="preserve"> HYPERLINK \l "_Toc14227" </w:instrText>
          </w:r>
          <w:r>
            <w:fldChar w:fldCharType="separate"/>
          </w:r>
          <w:r>
            <w:rPr>
              <w:rFonts w:hint="eastAsia"/>
              <w:szCs w:val="36"/>
            </w:rPr>
            <w:t>第一部分  “资格性响应文件”格式</w:t>
          </w:r>
          <w:r>
            <w:tab/>
          </w:r>
          <w:r>
            <w:fldChar w:fldCharType="begin"/>
          </w:r>
          <w:r>
            <w:instrText xml:space="preserve"> PAGEREF _Toc14227 \h </w:instrText>
          </w:r>
          <w:r>
            <w:fldChar w:fldCharType="separate"/>
          </w:r>
          <w:r>
            <w:t>40</w:t>
          </w:r>
          <w:r>
            <w:fldChar w:fldCharType="end"/>
          </w:r>
          <w:r>
            <w:fldChar w:fldCharType="end"/>
          </w:r>
        </w:p>
        <w:p w14:paraId="74B53035">
          <w:pPr>
            <w:pStyle w:val="11"/>
            <w:tabs>
              <w:tab w:val="right" w:leader="dot" w:pos="9070"/>
            </w:tabs>
            <w:ind w:left="960"/>
          </w:pPr>
          <w:r>
            <w:fldChar w:fldCharType="begin"/>
          </w:r>
          <w:r>
            <w:instrText xml:space="preserve"> HYPERLINK \l "_Toc6879" </w:instrText>
          </w:r>
          <w:r>
            <w:fldChar w:fldCharType="separate"/>
          </w:r>
          <w:r>
            <w:rPr>
              <w:rFonts w:hint="eastAsia" w:hAnsi="宋体"/>
            </w:rPr>
            <w:t>一、法定代表人身份证明书</w:t>
          </w:r>
          <w:r>
            <w:tab/>
          </w:r>
          <w:r>
            <w:fldChar w:fldCharType="begin"/>
          </w:r>
          <w:r>
            <w:instrText xml:space="preserve"> PAGEREF _Toc6879 \h </w:instrText>
          </w:r>
          <w:r>
            <w:fldChar w:fldCharType="separate"/>
          </w:r>
          <w:r>
            <w:t>41</w:t>
          </w:r>
          <w:r>
            <w:fldChar w:fldCharType="end"/>
          </w:r>
          <w:r>
            <w:fldChar w:fldCharType="end"/>
          </w:r>
        </w:p>
        <w:p w14:paraId="010ED95F">
          <w:pPr>
            <w:pStyle w:val="11"/>
            <w:tabs>
              <w:tab w:val="right" w:leader="dot" w:pos="9070"/>
            </w:tabs>
            <w:ind w:left="960"/>
          </w:pPr>
          <w:r>
            <w:fldChar w:fldCharType="begin"/>
          </w:r>
          <w:r>
            <w:instrText xml:space="preserve"> HYPERLINK \l "_Toc8871" </w:instrText>
          </w:r>
          <w:r>
            <w:fldChar w:fldCharType="separate"/>
          </w:r>
          <w:r>
            <w:rPr>
              <w:rFonts w:hint="eastAsia" w:hAnsi="宋体"/>
            </w:rPr>
            <w:t>二、法定代表人授权委托书</w:t>
          </w:r>
          <w:r>
            <w:tab/>
          </w:r>
          <w:r>
            <w:fldChar w:fldCharType="begin"/>
          </w:r>
          <w:r>
            <w:instrText xml:space="preserve"> PAGEREF _Toc8871 \h </w:instrText>
          </w:r>
          <w:r>
            <w:fldChar w:fldCharType="separate"/>
          </w:r>
          <w:r>
            <w:t>42</w:t>
          </w:r>
          <w:r>
            <w:fldChar w:fldCharType="end"/>
          </w:r>
          <w:r>
            <w:fldChar w:fldCharType="end"/>
          </w:r>
        </w:p>
        <w:p w14:paraId="4874B794">
          <w:pPr>
            <w:pStyle w:val="11"/>
            <w:tabs>
              <w:tab w:val="right" w:leader="dot" w:pos="9070"/>
            </w:tabs>
            <w:ind w:left="960"/>
          </w:pPr>
          <w:r>
            <w:fldChar w:fldCharType="begin"/>
          </w:r>
          <w:r>
            <w:instrText xml:space="preserve"> HYPERLINK \l "_Toc31868" </w:instrText>
          </w:r>
          <w:r>
            <w:fldChar w:fldCharType="separate"/>
          </w:r>
          <w:r>
            <w:rPr>
              <w:rFonts w:hint="eastAsia" w:hAnsi="宋体"/>
            </w:rPr>
            <w:t>三、承诺函</w:t>
          </w:r>
          <w:r>
            <w:tab/>
          </w:r>
          <w:r>
            <w:fldChar w:fldCharType="begin"/>
          </w:r>
          <w:r>
            <w:instrText xml:space="preserve"> PAGEREF _Toc31868 \h </w:instrText>
          </w:r>
          <w:r>
            <w:fldChar w:fldCharType="separate"/>
          </w:r>
          <w:r>
            <w:t>43</w:t>
          </w:r>
          <w:r>
            <w:fldChar w:fldCharType="end"/>
          </w:r>
          <w:r>
            <w:fldChar w:fldCharType="end"/>
          </w:r>
        </w:p>
        <w:p w14:paraId="19EF5EE8">
          <w:pPr>
            <w:pStyle w:val="11"/>
            <w:tabs>
              <w:tab w:val="right" w:leader="dot" w:pos="9070"/>
            </w:tabs>
            <w:ind w:left="960"/>
          </w:pPr>
          <w:r>
            <w:fldChar w:fldCharType="begin"/>
          </w:r>
          <w:r>
            <w:instrText xml:space="preserve"> HYPERLINK \l "_Toc18662" </w:instrText>
          </w:r>
          <w:r>
            <w:fldChar w:fldCharType="separate"/>
          </w:r>
          <w:r>
            <w:rPr>
              <w:rFonts w:hint="eastAsia"/>
            </w:rPr>
            <w:t>四、无行贿犯罪记录的承诺函</w:t>
          </w:r>
          <w:r>
            <w:tab/>
          </w:r>
          <w:r>
            <w:fldChar w:fldCharType="begin"/>
          </w:r>
          <w:r>
            <w:instrText xml:space="preserve"> PAGEREF _Toc18662 \h </w:instrText>
          </w:r>
          <w:r>
            <w:fldChar w:fldCharType="separate"/>
          </w:r>
          <w:r>
            <w:t>45</w:t>
          </w:r>
          <w:r>
            <w:fldChar w:fldCharType="end"/>
          </w:r>
          <w:r>
            <w:fldChar w:fldCharType="end"/>
          </w:r>
        </w:p>
        <w:p w14:paraId="01428C4A">
          <w:pPr>
            <w:pStyle w:val="11"/>
            <w:tabs>
              <w:tab w:val="right" w:leader="dot" w:pos="9070"/>
            </w:tabs>
            <w:ind w:left="960"/>
          </w:pPr>
          <w:r>
            <w:fldChar w:fldCharType="begin"/>
          </w:r>
          <w:r>
            <w:instrText xml:space="preserve"> HYPERLINK \l "_Toc3480" </w:instrText>
          </w:r>
          <w:r>
            <w:fldChar w:fldCharType="separate"/>
          </w:r>
          <w:r>
            <w:rPr>
              <w:rFonts w:hint="eastAsia" w:hAnsi="宋体"/>
            </w:rPr>
            <w:t>五</w:t>
          </w:r>
          <w:r>
            <w:rPr>
              <w:rFonts w:hAnsi="宋体"/>
            </w:rPr>
            <w:t>、</w:t>
          </w:r>
          <w:r>
            <w:rPr>
              <w:rFonts w:hint="eastAsia" w:hAnsi="宋体"/>
            </w:rPr>
            <w:t>供应商其他资格、资质性及其他类似效力要求的相关证明材料</w:t>
          </w:r>
          <w:r>
            <w:tab/>
          </w:r>
          <w:r>
            <w:fldChar w:fldCharType="begin"/>
          </w:r>
          <w:r>
            <w:instrText xml:space="preserve"> PAGEREF _Toc3480 \h </w:instrText>
          </w:r>
          <w:r>
            <w:fldChar w:fldCharType="separate"/>
          </w:r>
          <w:r>
            <w:t>46</w:t>
          </w:r>
          <w:r>
            <w:fldChar w:fldCharType="end"/>
          </w:r>
          <w:r>
            <w:fldChar w:fldCharType="end"/>
          </w:r>
        </w:p>
        <w:p w14:paraId="7911FF09">
          <w:pPr>
            <w:pStyle w:val="20"/>
            <w:tabs>
              <w:tab w:val="right" w:leader="dot" w:pos="9070"/>
            </w:tabs>
            <w:ind w:left="480"/>
          </w:pPr>
          <w:r>
            <w:fldChar w:fldCharType="begin"/>
          </w:r>
          <w:r>
            <w:instrText xml:space="preserve"> HYPERLINK \l "_Toc23198" </w:instrText>
          </w:r>
          <w:r>
            <w:fldChar w:fldCharType="separate"/>
          </w:r>
          <w:r>
            <w:rPr>
              <w:rFonts w:hint="eastAsia"/>
              <w:szCs w:val="36"/>
            </w:rPr>
            <w:t>第二部分  “其他响应文件”格式</w:t>
          </w:r>
          <w:r>
            <w:tab/>
          </w:r>
          <w:r>
            <w:fldChar w:fldCharType="begin"/>
          </w:r>
          <w:r>
            <w:instrText xml:space="preserve"> PAGEREF _Toc23198 \h </w:instrText>
          </w:r>
          <w:r>
            <w:fldChar w:fldCharType="separate"/>
          </w:r>
          <w:r>
            <w:t>47</w:t>
          </w:r>
          <w:r>
            <w:fldChar w:fldCharType="end"/>
          </w:r>
          <w:r>
            <w:fldChar w:fldCharType="end"/>
          </w:r>
        </w:p>
        <w:p w14:paraId="257DD05F">
          <w:pPr>
            <w:pStyle w:val="11"/>
            <w:tabs>
              <w:tab w:val="right" w:leader="dot" w:pos="9070"/>
            </w:tabs>
            <w:ind w:left="960"/>
          </w:pPr>
          <w:r>
            <w:fldChar w:fldCharType="begin"/>
          </w:r>
          <w:r>
            <w:instrText xml:space="preserve"> HYPERLINK \l "_Toc5995" </w:instrText>
          </w:r>
          <w:r>
            <w:fldChar w:fldCharType="separate"/>
          </w:r>
          <w:r>
            <w:rPr>
              <w:rFonts w:hint="eastAsia" w:hAnsi="宋体"/>
            </w:rPr>
            <w:t>一、磋商函</w:t>
          </w:r>
          <w:r>
            <w:tab/>
          </w:r>
          <w:r>
            <w:fldChar w:fldCharType="begin"/>
          </w:r>
          <w:r>
            <w:instrText xml:space="preserve"> PAGEREF _Toc5995 \h </w:instrText>
          </w:r>
          <w:r>
            <w:fldChar w:fldCharType="separate"/>
          </w:r>
          <w:r>
            <w:t>48</w:t>
          </w:r>
          <w:r>
            <w:fldChar w:fldCharType="end"/>
          </w:r>
          <w:r>
            <w:fldChar w:fldCharType="end"/>
          </w:r>
        </w:p>
        <w:p w14:paraId="2D6DDE22">
          <w:pPr>
            <w:pStyle w:val="11"/>
            <w:tabs>
              <w:tab w:val="right" w:leader="dot" w:pos="9070"/>
            </w:tabs>
            <w:ind w:left="960"/>
          </w:pPr>
          <w:r>
            <w:fldChar w:fldCharType="begin"/>
          </w:r>
          <w:r>
            <w:instrText xml:space="preserve"> HYPERLINK \l "_Toc21978" </w:instrText>
          </w:r>
          <w:r>
            <w:fldChar w:fldCharType="separate"/>
          </w:r>
          <w:r>
            <w:rPr>
              <w:rFonts w:hint="eastAsia" w:hAnsi="宋体"/>
            </w:rPr>
            <w:t>二、首次报价表</w:t>
          </w:r>
          <w:r>
            <w:tab/>
          </w:r>
          <w:r>
            <w:fldChar w:fldCharType="begin"/>
          </w:r>
          <w:r>
            <w:instrText xml:space="preserve"> PAGEREF _Toc21978 \h </w:instrText>
          </w:r>
          <w:r>
            <w:fldChar w:fldCharType="separate"/>
          </w:r>
          <w:r>
            <w:t>50</w:t>
          </w:r>
          <w:r>
            <w:fldChar w:fldCharType="end"/>
          </w:r>
          <w:r>
            <w:fldChar w:fldCharType="end"/>
          </w:r>
        </w:p>
        <w:p w14:paraId="75B65C38">
          <w:pPr>
            <w:pStyle w:val="11"/>
            <w:tabs>
              <w:tab w:val="right" w:leader="dot" w:pos="9070"/>
            </w:tabs>
            <w:ind w:left="960"/>
          </w:pPr>
          <w:r>
            <w:fldChar w:fldCharType="begin"/>
          </w:r>
          <w:r>
            <w:instrText xml:space="preserve"> HYPERLINK \l "_Toc23221" </w:instrText>
          </w:r>
          <w:r>
            <w:fldChar w:fldCharType="separate"/>
          </w:r>
          <w:r>
            <w:rPr>
              <w:rFonts w:hint="eastAsia" w:hAnsi="宋体"/>
            </w:rPr>
            <w:t>三、分项报价明细表</w:t>
          </w:r>
          <w:r>
            <w:tab/>
          </w:r>
          <w:r>
            <w:fldChar w:fldCharType="begin"/>
          </w:r>
          <w:r>
            <w:instrText xml:space="preserve"> PAGEREF _Toc23221 \h </w:instrText>
          </w:r>
          <w:r>
            <w:fldChar w:fldCharType="separate"/>
          </w:r>
          <w:r>
            <w:t>52</w:t>
          </w:r>
          <w:r>
            <w:fldChar w:fldCharType="end"/>
          </w:r>
          <w:r>
            <w:fldChar w:fldCharType="end"/>
          </w:r>
        </w:p>
        <w:p w14:paraId="312D2126">
          <w:pPr>
            <w:pStyle w:val="11"/>
            <w:tabs>
              <w:tab w:val="right" w:leader="dot" w:pos="9070"/>
            </w:tabs>
            <w:ind w:left="960"/>
          </w:pPr>
          <w:r>
            <w:fldChar w:fldCharType="begin"/>
          </w:r>
          <w:r>
            <w:instrText xml:space="preserve"> HYPERLINK \l "_Toc28572" </w:instrText>
          </w:r>
          <w:r>
            <w:fldChar w:fldCharType="separate"/>
          </w:r>
          <w:r>
            <w:rPr>
              <w:rFonts w:hint="eastAsia"/>
            </w:rPr>
            <w:t>四、技术要求响应表</w:t>
          </w:r>
          <w:r>
            <w:tab/>
          </w:r>
          <w:r>
            <w:fldChar w:fldCharType="begin"/>
          </w:r>
          <w:r>
            <w:instrText xml:space="preserve"> PAGEREF _Toc28572 \h </w:instrText>
          </w:r>
          <w:r>
            <w:fldChar w:fldCharType="separate"/>
          </w:r>
          <w:r>
            <w:t>68</w:t>
          </w:r>
          <w:r>
            <w:fldChar w:fldCharType="end"/>
          </w:r>
          <w:r>
            <w:fldChar w:fldCharType="end"/>
          </w:r>
        </w:p>
        <w:p w14:paraId="204AC410">
          <w:pPr>
            <w:pStyle w:val="11"/>
            <w:tabs>
              <w:tab w:val="right" w:leader="dot" w:pos="9070"/>
            </w:tabs>
            <w:ind w:left="960"/>
          </w:pPr>
          <w:r>
            <w:fldChar w:fldCharType="begin"/>
          </w:r>
          <w:r>
            <w:instrText xml:space="preserve"> HYPERLINK \l "_Toc23219" </w:instrText>
          </w:r>
          <w:r>
            <w:fldChar w:fldCharType="separate"/>
          </w:r>
          <w:r>
            <w:rPr>
              <w:rFonts w:hint="eastAsia"/>
            </w:rPr>
            <w:t>五、商务要求应答表</w:t>
          </w:r>
          <w:r>
            <w:tab/>
          </w:r>
          <w:r>
            <w:fldChar w:fldCharType="begin"/>
          </w:r>
          <w:r>
            <w:instrText xml:space="preserve"> PAGEREF _Toc23219 \h </w:instrText>
          </w:r>
          <w:r>
            <w:fldChar w:fldCharType="separate"/>
          </w:r>
          <w:r>
            <w:t>69</w:t>
          </w:r>
          <w:r>
            <w:fldChar w:fldCharType="end"/>
          </w:r>
          <w:r>
            <w:fldChar w:fldCharType="end"/>
          </w:r>
        </w:p>
        <w:p w14:paraId="6E98FD26">
          <w:pPr>
            <w:pStyle w:val="11"/>
            <w:tabs>
              <w:tab w:val="right" w:leader="dot" w:pos="9070"/>
            </w:tabs>
            <w:ind w:left="960"/>
          </w:pPr>
          <w:r>
            <w:fldChar w:fldCharType="begin"/>
          </w:r>
          <w:r>
            <w:instrText xml:space="preserve"> HYPERLINK \l "_Toc8063" </w:instrText>
          </w:r>
          <w:r>
            <w:fldChar w:fldCharType="separate"/>
          </w:r>
          <w:r>
            <w:rPr>
              <w:rFonts w:hint="eastAsia"/>
            </w:rPr>
            <w:t>六、供应商基本情况表</w:t>
          </w:r>
          <w:r>
            <w:tab/>
          </w:r>
          <w:r>
            <w:fldChar w:fldCharType="begin"/>
          </w:r>
          <w:r>
            <w:instrText xml:space="preserve"> PAGEREF _Toc8063 \h </w:instrText>
          </w:r>
          <w:r>
            <w:fldChar w:fldCharType="separate"/>
          </w:r>
          <w:r>
            <w:t>70</w:t>
          </w:r>
          <w:r>
            <w:fldChar w:fldCharType="end"/>
          </w:r>
          <w:r>
            <w:fldChar w:fldCharType="end"/>
          </w:r>
        </w:p>
        <w:p w14:paraId="1B308F98">
          <w:pPr>
            <w:pStyle w:val="11"/>
            <w:tabs>
              <w:tab w:val="right" w:leader="dot" w:pos="9070"/>
            </w:tabs>
            <w:ind w:left="960"/>
          </w:pPr>
          <w:r>
            <w:fldChar w:fldCharType="begin"/>
          </w:r>
          <w:r>
            <w:instrText xml:space="preserve"> HYPERLINK \l "_Toc29845" </w:instrText>
          </w:r>
          <w:r>
            <w:fldChar w:fldCharType="separate"/>
          </w:r>
          <w:r>
            <w:rPr>
              <w:rFonts w:hint="eastAsia"/>
            </w:rPr>
            <w:t>七、拟投入本项目管理、服务、其他人员情况表</w:t>
          </w:r>
          <w:r>
            <w:tab/>
          </w:r>
          <w:r>
            <w:fldChar w:fldCharType="begin"/>
          </w:r>
          <w:r>
            <w:instrText xml:space="preserve"> PAGEREF _Toc29845 \h </w:instrText>
          </w:r>
          <w:r>
            <w:fldChar w:fldCharType="separate"/>
          </w:r>
          <w:r>
            <w:t>71</w:t>
          </w:r>
          <w:r>
            <w:fldChar w:fldCharType="end"/>
          </w:r>
          <w:r>
            <w:fldChar w:fldCharType="end"/>
          </w:r>
        </w:p>
        <w:p w14:paraId="7078D813">
          <w:pPr>
            <w:pStyle w:val="11"/>
            <w:tabs>
              <w:tab w:val="right" w:leader="dot" w:pos="9070"/>
            </w:tabs>
            <w:ind w:left="960"/>
          </w:pPr>
          <w:r>
            <w:fldChar w:fldCharType="begin"/>
          </w:r>
          <w:r>
            <w:instrText xml:space="preserve"> HYPERLINK \l "_Toc10706" </w:instrText>
          </w:r>
          <w:r>
            <w:fldChar w:fldCharType="separate"/>
          </w:r>
          <w:r>
            <w:rPr>
              <w:rFonts w:hint="eastAsia"/>
            </w:rPr>
            <w:t>八、诚信行为声明函-1</w:t>
          </w:r>
          <w:r>
            <w:tab/>
          </w:r>
          <w:r>
            <w:fldChar w:fldCharType="begin"/>
          </w:r>
          <w:r>
            <w:instrText xml:space="preserve"> PAGEREF _Toc10706 \h </w:instrText>
          </w:r>
          <w:r>
            <w:fldChar w:fldCharType="separate"/>
          </w:r>
          <w:r>
            <w:t>72</w:t>
          </w:r>
          <w:r>
            <w:fldChar w:fldCharType="end"/>
          </w:r>
          <w:r>
            <w:fldChar w:fldCharType="end"/>
          </w:r>
        </w:p>
        <w:p w14:paraId="727AC639">
          <w:pPr>
            <w:pStyle w:val="11"/>
            <w:tabs>
              <w:tab w:val="right" w:leader="dot" w:pos="9070"/>
            </w:tabs>
            <w:ind w:left="960"/>
          </w:pPr>
          <w:r>
            <w:fldChar w:fldCharType="begin"/>
          </w:r>
          <w:r>
            <w:instrText xml:space="preserve"> HYPERLINK \l "_Toc20431" </w:instrText>
          </w:r>
          <w:r>
            <w:fldChar w:fldCharType="separate"/>
          </w:r>
          <w:r>
            <w:rPr>
              <w:rFonts w:hint="eastAsia"/>
            </w:rPr>
            <w:t>九、供应商诚信情况承诺函-2</w:t>
          </w:r>
          <w:r>
            <w:tab/>
          </w:r>
          <w:r>
            <w:fldChar w:fldCharType="begin"/>
          </w:r>
          <w:r>
            <w:instrText xml:space="preserve"> PAGEREF _Toc20431 \h </w:instrText>
          </w:r>
          <w:r>
            <w:fldChar w:fldCharType="separate"/>
          </w:r>
          <w:r>
            <w:t>73</w:t>
          </w:r>
          <w:r>
            <w:fldChar w:fldCharType="end"/>
          </w:r>
          <w:r>
            <w:fldChar w:fldCharType="end"/>
          </w:r>
        </w:p>
        <w:p w14:paraId="04BD36C7">
          <w:pPr>
            <w:pStyle w:val="11"/>
            <w:tabs>
              <w:tab w:val="right" w:leader="dot" w:pos="9070"/>
            </w:tabs>
            <w:ind w:left="960"/>
          </w:pPr>
          <w:r>
            <w:fldChar w:fldCharType="begin"/>
          </w:r>
          <w:r>
            <w:instrText xml:space="preserve"> HYPERLINK \l "_Toc9008" </w:instrText>
          </w:r>
          <w:r>
            <w:fldChar w:fldCharType="separate"/>
          </w:r>
          <w:r>
            <w:rPr>
              <w:rFonts w:hint="eastAsia"/>
            </w:rPr>
            <w:t>十、供应商廉政承诺书</w:t>
          </w:r>
          <w:r>
            <w:tab/>
          </w:r>
          <w:r>
            <w:fldChar w:fldCharType="begin"/>
          </w:r>
          <w:r>
            <w:instrText xml:space="preserve"> PAGEREF _Toc9008 \h </w:instrText>
          </w:r>
          <w:r>
            <w:fldChar w:fldCharType="separate"/>
          </w:r>
          <w:r>
            <w:t>74</w:t>
          </w:r>
          <w:r>
            <w:fldChar w:fldCharType="end"/>
          </w:r>
          <w:r>
            <w:fldChar w:fldCharType="end"/>
          </w:r>
        </w:p>
        <w:p w14:paraId="29D26D46">
          <w:pPr>
            <w:pStyle w:val="11"/>
            <w:tabs>
              <w:tab w:val="right" w:leader="dot" w:pos="9070"/>
            </w:tabs>
            <w:ind w:left="960"/>
          </w:pPr>
          <w:r>
            <w:fldChar w:fldCharType="begin"/>
          </w:r>
          <w:r>
            <w:instrText xml:space="preserve"> HYPERLINK \l "_Toc21942" </w:instrText>
          </w:r>
          <w:r>
            <w:fldChar w:fldCharType="separate"/>
          </w:r>
          <w:r>
            <w:rPr>
              <w:rFonts w:hint="eastAsia"/>
            </w:rPr>
            <w:t>十一、供应商认为需要提供的文件和资料</w:t>
          </w:r>
          <w:r>
            <w:tab/>
          </w:r>
          <w:r>
            <w:fldChar w:fldCharType="begin"/>
          </w:r>
          <w:r>
            <w:instrText xml:space="preserve"> PAGEREF _Toc21942 \h </w:instrText>
          </w:r>
          <w:r>
            <w:fldChar w:fldCharType="separate"/>
          </w:r>
          <w:r>
            <w:t>75</w:t>
          </w:r>
          <w:r>
            <w:fldChar w:fldCharType="end"/>
          </w:r>
          <w:r>
            <w:fldChar w:fldCharType="end"/>
          </w:r>
        </w:p>
        <w:p w14:paraId="6D2F9744">
          <w:pPr>
            <w:pStyle w:val="18"/>
            <w:tabs>
              <w:tab w:val="right" w:leader="dot" w:pos="9070"/>
            </w:tabs>
          </w:pPr>
          <w:r>
            <w:fldChar w:fldCharType="begin"/>
          </w:r>
          <w:r>
            <w:instrText xml:space="preserve"> HYPERLINK \l "_Toc535" </w:instrText>
          </w:r>
          <w:r>
            <w:fldChar w:fldCharType="separate"/>
          </w:r>
          <w:r>
            <w:rPr>
              <w:rFonts w:hint="eastAsia" w:cs="宋体" w:asciiTheme="minorEastAsia" w:hAnsiTheme="minorEastAsia" w:eastAsiaTheme="minorEastAsia"/>
              <w:szCs w:val="32"/>
            </w:rPr>
            <w:t>第六章  磋商程序、方法及标准</w:t>
          </w:r>
          <w:r>
            <w:tab/>
          </w:r>
          <w:r>
            <w:fldChar w:fldCharType="begin"/>
          </w:r>
          <w:r>
            <w:instrText xml:space="preserve"> PAGEREF _Toc535 \h </w:instrText>
          </w:r>
          <w:r>
            <w:fldChar w:fldCharType="separate"/>
          </w:r>
          <w:r>
            <w:t>76</w:t>
          </w:r>
          <w:r>
            <w:fldChar w:fldCharType="end"/>
          </w:r>
          <w:r>
            <w:fldChar w:fldCharType="end"/>
          </w:r>
        </w:p>
        <w:p w14:paraId="45C2DA1A">
          <w:pPr>
            <w:pStyle w:val="20"/>
            <w:tabs>
              <w:tab w:val="right" w:leader="dot" w:pos="9070"/>
            </w:tabs>
            <w:ind w:left="480"/>
          </w:pPr>
          <w:r>
            <w:fldChar w:fldCharType="begin"/>
          </w:r>
          <w:r>
            <w:instrText xml:space="preserve"> HYPERLINK \l "_Toc4939" </w:instrText>
          </w:r>
          <w:r>
            <w:fldChar w:fldCharType="separate"/>
          </w:r>
          <w:r>
            <w:rPr>
              <w:rFonts w:hint="eastAsia" w:hAnsi="宋体" w:cs="宋体"/>
              <w:szCs w:val="24"/>
            </w:rPr>
            <w:t>一、总则</w:t>
          </w:r>
          <w:r>
            <w:tab/>
          </w:r>
          <w:r>
            <w:fldChar w:fldCharType="begin"/>
          </w:r>
          <w:r>
            <w:instrText xml:space="preserve"> PAGEREF _Toc4939 \h </w:instrText>
          </w:r>
          <w:r>
            <w:fldChar w:fldCharType="separate"/>
          </w:r>
          <w:r>
            <w:t>76</w:t>
          </w:r>
          <w:r>
            <w:fldChar w:fldCharType="end"/>
          </w:r>
          <w:r>
            <w:fldChar w:fldCharType="end"/>
          </w:r>
        </w:p>
        <w:p w14:paraId="1FCC8873">
          <w:pPr>
            <w:pStyle w:val="20"/>
            <w:tabs>
              <w:tab w:val="right" w:leader="dot" w:pos="9070"/>
            </w:tabs>
            <w:ind w:left="480"/>
          </w:pPr>
          <w:r>
            <w:fldChar w:fldCharType="begin"/>
          </w:r>
          <w:r>
            <w:instrText xml:space="preserve"> HYPERLINK \l "_Toc13847" </w:instrText>
          </w:r>
          <w:r>
            <w:fldChar w:fldCharType="separate"/>
          </w:r>
          <w:r>
            <w:rPr>
              <w:rFonts w:hint="eastAsia" w:hAnsi="宋体" w:cs="宋体"/>
              <w:szCs w:val="24"/>
            </w:rPr>
            <w:t>二、评审方法</w:t>
          </w:r>
          <w:r>
            <w:tab/>
          </w:r>
          <w:r>
            <w:fldChar w:fldCharType="begin"/>
          </w:r>
          <w:r>
            <w:instrText xml:space="preserve"> PAGEREF _Toc13847 \h </w:instrText>
          </w:r>
          <w:r>
            <w:fldChar w:fldCharType="separate"/>
          </w:r>
          <w:r>
            <w:t>76</w:t>
          </w:r>
          <w:r>
            <w:fldChar w:fldCharType="end"/>
          </w:r>
          <w:r>
            <w:fldChar w:fldCharType="end"/>
          </w:r>
        </w:p>
        <w:p w14:paraId="467C9035">
          <w:pPr>
            <w:pStyle w:val="20"/>
            <w:tabs>
              <w:tab w:val="right" w:leader="dot" w:pos="9070"/>
            </w:tabs>
            <w:ind w:left="480"/>
          </w:pPr>
          <w:r>
            <w:fldChar w:fldCharType="begin"/>
          </w:r>
          <w:r>
            <w:instrText xml:space="preserve"> HYPERLINK \l "_Toc15911" </w:instrText>
          </w:r>
          <w:r>
            <w:fldChar w:fldCharType="separate"/>
          </w:r>
          <w:r>
            <w:rPr>
              <w:rFonts w:hint="eastAsia" w:hAnsi="宋体" w:cs="宋体"/>
              <w:szCs w:val="24"/>
            </w:rPr>
            <w:t>三、磋商程序</w:t>
          </w:r>
          <w:r>
            <w:tab/>
          </w:r>
          <w:r>
            <w:fldChar w:fldCharType="begin"/>
          </w:r>
          <w:r>
            <w:instrText xml:space="preserve"> PAGEREF _Toc15911 \h </w:instrText>
          </w:r>
          <w:r>
            <w:fldChar w:fldCharType="separate"/>
          </w:r>
          <w:r>
            <w:t>77</w:t>
          </w:r>
          <w:r>
            <w:fldChar w:fldCharType="end"/>
          </w:r>
          <w:r>
            <w:fldChar w:fldCharType="end"/>
          </w:r>
        </w:p>
        <w:p w14:paraId="150E8ED8">
          <w:pPr>
            <w:pStyle w:val="20"/>
            <w:tabs>
              <w:tab w:val="right" w:leader="dot" w:pos="9070"/>
            </w:tabs>
            <w:ind w:left="480"/>
          </w:pPr>
          <w:r>
            <w:fldChar w:fldCharType="begin"/>
          </w:r>
          <w:r>
            <w:instrText xml:space="preserve"> HYPERLINK \l "_Toc14730" </w:instrText>
          </w:r>
          <w:r>
            <w:fldChar w:fldCharType="separate"/>
          </w:r>
          <w:r>
            <w:rPr>
              <w:rFonts w:hint="eastAsia" w:hAnsi="宋体" w:cs="宋体"/>
              <w:szCs w:val="24"/>
            </w:rPr>
            <w:t>四、综合评分</w:t>
          </w:r>
          <w:r>
            <w:tab/>
          </w:r>
          <w:r>
            <w:fldChar w:fldCharType="begin"/>
          </w:r>
          <w:r>
            <w:instrText xml:space="preserve"> PAGEREF _Toc14730 \h </w:instrText>
          </w:r>
          <w:r>
            <w:fldChar w:fldCharType="separate"/>
          </w:r>
          <w:r>
            <w:t>82</w:t>
          </w:r>
          <w:r>
            <w:fldChar w:fldCharType="end"/>
          </w:r>
          <w:r>
            <w:fldChar w:fldCharType="end"/>
          </w:r>
        </w:p>
        <w:p w14:paraId="244D2706">
          <w:pPr>
            <w:pStyle w:val="18"/>
            <w:tabs>
              <w:tab w:val="right" w:leader="dot" w:pos="9070"/>
            </w:tabs>
          </w:pPr>
          <w:r>
            <w:fldChar w:fldCharType="begin"/>
          </w:r>
          <w:r>
            <w:instrText xml:space="preserve"> HYPERLINK \l "_Toc7641" </w:instrText>
          </w:r>
          <w:r>
            <w:fldChar w:fldCharType="separate"/>
          </w:r>
          <w:r>
            <w:rPr>
              <w:rFonts w:hint="eastAsia" w:cs="宋体" w:asciiTheme="minorEastAsia" w:hAnsiTheme="minorEastAsia" w:eastAsiaTheme="minorEastAsia"/>
              <w:szCs w:val="32"/>
            </w:rPr>
            <w:t xml:space="preserve">第七章 </w:t>
          </w:r>
          <w:r>
            <w:rPr>
              <w:rFonts w:cs="宋体" w:asciiTheme="minorEastAsia" w:hAnsiTheme="minorEastAsia" w:eastAsiaTheme="minorEastAsia"/>
              <w:szCs w:val="32"/>
            </w:rPr>
            <w:t xml:space="preserve"> </w:t>
          </w:r>
          <w:r>
            <w:rPr>
              <w:rFonts w:hint="eastAsia" w:cs="宋体" w:asciiTheme="minorEastAsia" w:hAnsiTheme="minorEastAsia" w:eastAsiaTheme="minorEastAsia"/>
              <w:szCs w:val="32"/>
            </w:rPr>
            <w:t>合同主要条款</w:t>
          </w:r>
          <w:r>
            <w:tab/>
          </w:r>
          <w:r>
            <w:fldChar w:fldCharType="begin"/>
          </w:r>
          <w:r>
            <w:instrText xml:space="preserve"> PAGEREF _Toc7641 \h </w:instrText>
          </w:r>
          <w:r>
            <w:fldChar w:fldCharType="separate"/>
          </w:r>
          <w:r>
            <w:t>90</w:t>
          </w:r>
          <w:r>
            <w:fldChar w:fldCharType="end"/>
          </w:r>
          <w:r>
            <w:fldChar w:fldCharType="end"/>
          </w:r>
        </w:p>
        <w:p w14:paraId="1152D0D5">
          <w:pPr>
            <w:pStyle w:val="18"/>
            <w:tabs>
              <w:tab w:val="right" w:leader="dot" w:pos="9070"/>
            </w:tabs>
          </w:pPr>
          <w:r>
            <w:fldChar w:fldCharType="begin"/>
          </w:r>
          <w:r>
            <w:instrText xml:space="preserve"> HYPERLINK \l "_Toc31220" </w:instrText>
          </w:r>
          <w:r>
            <w:fldChar w:fldCharType="separate"/>
          </w:r>
          <w:r>
            <w:rPr>
              <w:rFonts w:hint="eastAsia" w:ascii="仿宋" w:hAnsi="仿宋" w:eastAsia="仿宋" w:cs="仿宋"/>
              <w:szCs w:val="32"/>
            </w:rPr>
            <w:t>采购合同范本</w:t>
          </w:r>
          <w:r>
            <w:tab/>
          </w:r>
          <w:r>
            <w:fldChar w:fldCharType="begin"/>
          </w:r>
          <w:r>
            <w:instrText xml:space="preserve"> PAGEREF _Toc31220 \h </w:instrText>
          </w:r>
          <w:r>
            <w:fldChar w:fldCharType="separate"/>
          </w:r>
          <w:r>
            <w:t>90</w:t>
          </w:r>
          <w:r>
            <w:fldChar w:fldCharType="end"/>
          </w:r>
          <w:r>
            <w:fldChar w:fldCharType="end"/>
          </w:r>
        </w:p>
        <w:p w14:paraId="300A71BC">
          <w:pPr>
            <w:spacing w:line="360" w:lineRule="auto"/>
          </w:pPr>
          <w:r>
            <w:rPr>
              <w:bCs/>
              <w:lang w:val="zh-CN"/>
            </w:rPr>
            <w:fldChar w:fldCharType="end"/>
          </w:r>
        </w:p>
      </w:sdtContent>
    </w:sdt>
    <w:p w14:paraId="1BC99274"/>
    <w:p w14:paraId="01B1FCE4">
      <w:pPr>
        <w:pStyle w:val="18"/>
        <w:tabs>
          <w:tab w:val="right" w:leader="dot" w:pos="9060"/>
        </w:tabs>
        <w:spacing w:line="360" w:lineRule="auto"/>
      </w:pPr>
      <w:r>
        <w:br w:type="page"/>
      </w:r>
    </w:p>
    <w:p w14:paraId="333CAF6D">
      <w:pPr>
        <w:spacing w:line="360" w:lineRule="auto"/>
        <w:rPr>
          <w:rFonts w:hAnsi="宋体" w:cs="宋体"/>
          <w:sz w:val="18"/>
          <w:szCs w:val="18"/>
        </w:rPr>
        <w:sectPr>
          <w:headerReference r:id="rId4" w:type="first"/>
          <w:headerReference r:id="rId3" w:type="default"/>
          <w:pgSz w:w="11906" w:h="16838"/>
          <w:pgMar w:top="1418" w:right="1418" w:bottom="1418" w:left="1418" w:header="624" w:footer="907" w:gutter="0"/>
          <w:pgNumType w:start="1"/>
          <w:cols w:space="720" w:num="1"/>
          <w:formProt w:val="0"/>
          <w:titlePg/>
          <w:docGrid w:linePitch="312" w:charSpace="0"/>
        </w:sectPr>
      </w:pPr>
    </w:p>
    <w:p w14:paraId="7890B9E4">
      <w:pPr>
        <w:pStyle w:val="34"/>
        <w:spacing w:line="360" w:lineRule="auto"/>
        <w:rPr>
          <w:rFonts w:ascii="宋体" w:hAnsi="宋体" w:eastAsia="宋体" w:cs="宋体"/>
          <w:sz w:val="32"/>
          <w:szCs w:val="32"/>
        </w:rPr>
      </w:pPr>
      <w:bookmarkStart w:id="1" w:name="_Toc170477072"/>
      <w:bookmarkStart w:id="2" w:name="_Toc138167965"/>
      <w:bookmarkStart w:id="3" w:name="_Toc32413"/>
      <w:bookmarkStart w:id="4" w:name="_Toc138167914"/>
      <w:r>
        <w:rPr>
          <w:rFonts w:hint="eastAsia" w:ascii="宋体" w:hAnsi="宋体" w:eastAsia="宋体" w:cs="宋体"/>
          <w:sz w:val="32"/>
          <w:szCs w:val="32"/>
        </w:rPr>
        <w:t>第一章  竞争性磋商邀请</w:t>
      </w:r>
      <w:bookmarkEnd w:id="1"/>
      <w:bookmarkEnd w:id="2"/>
      <w:bookmarkEnd w:id="3"/>
      <w:bookmarkEnd w:id="4"/>
    </w:p>
    <w:p w14:paraId="7678F823">
      <w:pPr>
        <w:spacing w:line="360" w:lineRule="auto"/>
        <w:ind w:firstLine="480" w:firstLineChars="200"/>
        <w:rPr>
          <w:rFonts w:hAnsi="宋体" w:cs="宋体"/>
          <w:bCs/>
          <w:szCs w:val="24"/>
          <w:u w:val="single"/>
        </w:rPr>
      </w:pPr>
      <w:r>
        <w:rPr>
          <w:rFonts w:hint="eastAsia" w:hAnsi="宋体" w:cs="宋体"/>
          <w:bCs/>
          <w:szCs w:val="24"/>
          <w:u w:val="single"/>
        </w:rPr>
        <w:t>四川正达建安工程项目管理有限公司</w:t>
      </w:r>
      <w:r>
        <w:rPr>
          <w:rFonts w:hint="eastAsia" w:hAnsi="宋体" w:cs="宋体"/>
          <w:bCs/>
          <w:szCs w:val="24"/>
        </w:rPr>
        <w:t>受</w:t>
      </w:r>
      <w:r>
        <w:rPr>
          <w:rFonts w:hint="eastAsia" w:hAnsi="宋体" w:cs="宋体"/>
          <w:bCs/>
          <w:szCs w:val="24"/>
          <w:u w:val="single"/>
        </w:rPr>
        <w:t xml:space="preserve"> 绵阳仙海环鸿水务有限公司 </w:t>
      </w:r>
      <w:r>
        <w:rPr>
          <w:rFonts w:hint="eastAsia" w:hAnsi="宋体" w:cs="宋体"/>
          <w:bCs/>
          <w:szCs w:val="24"/>
        </w:rPr>
        <w:t>委托，拟对</w:t>
      </w:r>
      <w:r>
        <w:rPr>
          <w:rFonts w:hint="eastAsia" w:hAnsi="宋体" w:cs="宋体"/>
          <w:bCs/>
          <w:szCs w:val="24"/>
          <w:u w:val="single"/>
        </w:rPr>
        <w:t>仙海城乡供水一体化建设项目取水口10KV用电工程-施工采购</w:t>
      </w:r>
      <w:r>
        <w:rPr>
          <w:rFonts w:hint="eastAsia" w:hAnsi="宋体" w:cs="宋体"/>
          <w:bCs/>
          <w:szCs w:val="24"/>
        </w:rPr>
        <w:t>项目采用竞争性磋商方式实施采购，欢迎符合相应要求的供应商参加磋商，具体事项如下：</w:t>
      </w:r>
    </w:p>
    <w:p w14:paraId="715EC678">
      <w:pPr>
        <w:numPr>
          <w:ilvl w:val="0"/>
          <w:numId w:val="2"/>
        </w:numPr>
        <w:spacing w:line="360" w:lineRule="auto"/>
        <w:ind w:firstLine="472" w:firstLineChars="196"/>
        <w:rPr>
          <w:rFonts w:hAnsi="宋体" w:cs="宋体"/>
          <w:bCs/>
          <w:szCs w:val="24"/>
          <w:u w:val="single"/>
        </w:rPr>
      </w:pPr>
      <w:bookmarkStart w:id="5" w:name="_Toc22585"/>
      <w:bookmarkStart w:id="6" w:name="_Toc4204"/>
      <w:bookmarkStart w:id="7" w:name="_Toc17541"/>
      <w:bookmarkStart w:id="8" w:name="_Toc29902"/>
      <w:bookmarkStart w:id="9" w:name="_Toc13577"/>
      <w:bookmarkStart w:id="10" w:name="_Toc6823"/>
      <w:r>
        <w:rPr>
          <w:rFonts w:hint="eastAsia" w:hAnsi="宋体" w:cs="宋体"/>
          <w:b/>
          <w:szCs w:val="24"/>
        </w:rPr>
        <w:t>采购项目编号：</w:t>
      </w:r>
      <w:bookmarkEnd w:id="5"/>
      <w:bookmarkEnd w:id="6"/>
      <w:bookmarkEnd w:id="7"/>
      <w:bookmarkEnd w:id="8"/>
      <w:bookmarkEnd w:id="9"/>
      <w:bookmarkEnd w:id="10"/>
      <w:bookmarkStart w:id="11" w:name="_Toc14933"/>
      <w:bookmarkStart w:id="12" w:name="_Toc4999"/>
      <w:bookmarkStart w:id="13" w:name="_Toc11445"/>
      <w:bookmarkStart w:id="14" w:name="_Toc15536"/>
      <w:bookmarkStart w:id="15" w:name="_Toc32369"/>
      <w:bookmarkStart w:id="16" w:name="_Toc13501"/>
      <w:r>
        <w:rPr>
          <w:rFonts w:hint="eastAsia" w:hAnsi="宋体" w:cs="宋体"/>
          <w:bCs/>
          <w:szCs w:val="24"/>
          <w:u w:val="single"/>
        </w:rPr>
        <w:t xml:space="preserve">系统生成为准 </w:t>
      </w:r>
    </w:p>
    <w:p w14:paraId="2FB8E451">
      <w:pPr>
        <w:spacing w:line="360" w:lineRule="auto"/>
        <w:ind w:firstLine="482" w:firstLineChars="200"/>
        <w:rPr>
          <w:rFonts w:hAnsi="宋体" w:cs="宋体"/>
          <w:b/>
          <w:szCs w:val="24"/>
        </w:rPr>
      </w:pPr>
      <w:r>
        <w:rPr>
          <w:rFonts w:hint="eastAsia" w:hAnsi="宋体" w:cs="宋体"/>
          <w:b/>
          <w:szCs w:val="24"/>
        </w:rPr>
        <w:t>二、采购项目名称：</w:t>
      </w:r>
      <w:bookmarkEnd w:id="11"/>
      <w:bookmarkEnd w:id="12"/>
      <w:bookmarkEnd w:id="13"/>
      <w:bookmarkEnd w:id="14"/>
      <w:bookmarkEnd w:id="15"/>
      <w:bookmarkEnd w:id="16"/>
      <w:r>
        <w:rPr>
          <w:rFonts w:hint="eastAsia" w:hAnsi="宋体" w:cs="宋体"/>
          <w:bCs/>
          <w:szCs w:val="24"/>
          <w:u w:val="single"/>
        </w:rPr>
        <w:t>仙海城乡供水一体化建设项目取水口10KV用电工程-施工采购</w:t>
      </w:r>
      <w:r>
        <w:rPr>
          <w:rFonts w:hint="eastAsia" w:hAnsi="宋体" w:cs="宋体"/>
          <w:b/>
          <w:szCs w:val="24"/>
        </w:rPr>
        <w:t xml:space="preserve"> </w:t>
      </w:r>
    </w:p>
    <w:p w14:paraId="74897FDF">
      <w:pPr>
        <w:spacing w:line="360" w:lineRule="auto"/>
        <w:ind w:firstLine="472" w:firstLineChars="196"/>
        <w:rPr>
          <w:rFonts w:hAnsi="宋体" w:cs="宋体"/>
          <w:bCs/>
          <w:szCs w:val="24"/>
        </w:rPr>
      </w:pPr>
      <w:bookmarkStart w:id="17" w:name="_Toc15916"/>
      <w:bookmarkStart w:id="18" w:name="_Toc3500"/>
      <w:bookmarkStart w:id="19" w:name="_Toc13879"/>
      <w:bookmarkStart w:id="20" w:name="_Toc16778"/>
      <w:r>
        <w:rPr>
          <w:rFonts w:hint="eastAsia" w:hAnsi="宋体" w:cs="宋体"/>
          <w:b/>
          <w:szCs w:val="24"/>
        </w:rPr>
        <w:t>三、项目简介或概况：</w:t>
      </w:r>
      <w:r>
        <w:rPr>
          <w:rFonts w:hint="eastAsia" w:hAnsi="宋体" w:cs="宋体"/>
          <w:bCs/>
          <w:szCs w:val="24"/>
        </w:rPr>
        <w:t xml:space="preserve">新建高压电缆通道、敷设ZA-YJV22-8.7/10-3*185 220米;修建电缆井7口;安装箱变200KVA;电缆分支箱1台;新立15米电杆1根;安装隔离开关、避雷器各一组;真空开关、高压组合式互感器、计量箱各1台;安装电能表;负控装置;制作接地网及办理用电手续等。 </w:t>
      </w:r>
      <w:bookmarkEnd w:id="17"/>
      <w:bookmarkEnd w:id="18"/>
      <w:bookmarkEnd w:id="19"/>
      <w:bookmarkEnd w:id="20"/>
      <w:bookmarkStart w:id="21" w:name="_Toc30458"/>
      <w:bookmarkStart w:id="22" w:name="_Toc16193"/>
      <w:bookmarkStart w:id="23" w:name="_Toc17428"/>
      <w:bookmarkStart w:id="24" w:name="_Toc1553"/>
      <w:bookmarkStart w:id="25" w:name="_Toc5567"/>
      <w:bookmarkStart w:id="26" w:name="_Toc5035"/>
    </w:p>
    <w:p w14:paraId="76618AEC">
      <w:pPr>
        <w:spacing w:line="360" w:lineRule="auto"/>
        <w:ind w:firstLine="472" w:firstLineChars="196"/>
        <w:rPr>
          <w:rFonts w:hAnsi="宋体" w:cs="宋体"/>
          <w:bCs/>
          <w:szCs w:val="24"/>
        </w:rPr>
      </w:pPr>
      <w:r>
        <w:rPr>
          <w:rFonts w:hint="eastAsia" w:hAnsi="宋体" w:cs="宋体"/>
          <w:b/>
          <w:szCs w:val="24"/>
        </w:rPr>
        <w:t>四、</w:t>
      </w:r>
      <w:bookmarkEnd w:id="21"/>
      <w:bookmarkEnd w:id="22"/>
      <w:bookmarkEnd w:id="23"/>
      <w:bookmarkEnd w:id="24"/>
      <w:bookmarkEnd w:id="25"/>
      <w:bookmarkEnd w:id="26"/>
      <w:bookmarkStart w:id="27" w:name="_Toc11810"/>
      <w:bookmarkStart w:id="28" w:name="_Toc11355"/>
      <w:bookmarkStart w:id="29" w:name="_Toc31646"/>
      <w:bookmarkStart w:id="30" w:name="_Toc30748"/>
      <w:r>
        <w:rPr>
          <w:rFonts w:hint="eastAsia" w:hAnsi="宋体" w:cs="宋体"/>
          <w:b/>
          <w:szCs w:val="24"/>
        </w:rPr>
        <w:t>采购最高限价：</w:t>
      </w:r>
      <w:r>
        <w:rPr>
          <w:rFonts w:hint="eastAsia" w:hAnsi="宋体" w:cs="宋体"/>
          <w:bCs/>
          <w:szCs w:val="24"/>
        </w:rPr>
        <w:t>946914.01元。</w:t>
      </w:r>
      <w:bookmarkStart w:id="31" w:name="_Toc11927"/>
      <w:bookmarkStart w:id="32" w:name="_Toc2325"/>
    </w:p>
    <w:p w14:paraId="4E27D7F2">
      <w:pPr>
        <w:spacing w:line="360" w:lineRule="auto"/>
        <w:ind w:firstLine="472" w:firstLineChars="196"/>
        <w:rPr>
          <w:rFonts w:hAnsi="宋体" w:cs="宋体"/>
          <w:b/>
          <w:szCs w:val="24"/>
        </w:rPr>
      </w:pPr>
      <w:r>
        <w:rPr>
          <w:rFonts w:hint="eastAsia" w:hAnsi="宋体" w:cs="宋体"/>
          <w:b/>
          <w:szCs w:val="24"/>
        </w:rPr>
        <w:t>五、供应商参加本次采购活动应具备下列条件：</w:t>
      </w:r>
      <w:bookmarkEnd w:id="27"/>
      <w:bookmarkEnd w:id="28"/>
      <w:bookmarkEnd w:id="29"/>
      <w:bookmarkEnd w:id="30"/>
      <w:bookmarkEnd w:id="31"/>
      <w:bookmarkEnd w:id="32"/>
    </w:p>
    <w:p w14:paraId="27CF54BD">
      <w:pPr>
        <w:spacing w:after="50" w:line="360" w:lineRule="auto"/>
        <w:ind w:firstLine="480" w:firstLineChars="200"/>
        <w:rPr>
          <w:rFonts w:hAnsi="宋体" w:cs="宋体"/>
          <w:szCs w:val="24"/>
        </w:rPr>
      </w:pPr>
      <w:bookmarkStart w:id="33" w:name="_Toc26183"/>
      <w:r>
        <w:rPr>
          <w:rFonts w:hint="eastAsia" w:hAnsi="宋体" w:cs="宋体"/>
          <w:szCs w:val="24"/>
        </w:rPr>
        <w:t>1、具有独立承担民事责任的能力；</w:t>
      </w:r>
    </w:p>
    <w:p w14:paraId="0B714BA2">
      <w:pPr>
        <w:spacing w:after="50" w:line="360" w:lineRule="auto"/>
        <w:ind w:firstLine="480" w:firstLineChars="200"/>
        <w:rPr>
          <w:rFonts w:hAnsi="宋体" w:cs="宋体"/>
          <w:szCs w:val="24"/>
        </w:rPr>
      </w:pPr>
      <w:r>
        <w:rPr>
          <w:rFonts w:hint="eastAsia" w:hAnsi="宋体" w:cs="宋体"/>
          <w:szCs w:val="24"/>
        </w:rPr>
        <w:t>2、具有良好的商业信誉和健全的财务会计制度；</w:t>
      </w:r>
    </w:p>
    <w:p w14:paraId="11B3FB12">
      <w:pPr>
        <w:spacing w:after="50" w:line="360" w:lineRule="auto"/>
        <w:ind w:firstLine="480" w:firstLineChars="200"/>
        <w:rPr>
          <w:rFonts w:hAnsi="宋体" w:cs="宋体"/>
          <w:szCs w:val="24"/>
        </w:rPr>
      </w:pPr>
      <w:r>
        <w:rPr>
          <w:rFonts w:hint="eastAsia" w:hAnsi="宋体" w:cs="宋体"/>
          <w:szCs w:val="24"/>
        </w:rPr>
        <w:t>3、具有履行合同所必须的设备和专业技术能力；</w:t>
      </w:r>
    </w:p>
    <w:p w14:paraId="4D5B0DAB">
      <w:pPr>
        <w:spacing w:after="50" w:line="360" w:lineRule="auto"/>
        <w:ind w:firstLine="480" w:firstLineChars="200"/>
        <w:rPr>
          <w:rFonts w:hAnsi="宋体" w:cs="宋体"/>
          <w:szCs w:val="24"/>
        </w:rPr>
      </w:pPr>
      <w:r>
        <w:rPr>
          <w:rFonts w:hint="eastAsia" w:hAnsi="宋体" w:cs="宋体"/>
          <w:szCs w:val="24"/>
        </w:rPr>
        <w:t xml:space="preserve">4、具有依法缴纳税收和社会保障资金的良好记录； </w:t>
      </w:r>
    </w:p>
    <w:p w14:paraId="57D1EFF5">
      <w:pPr>
        <w:spacing w:after="50" w:line="360" w:lineRule="auto"/>
        <w:ind w:firstLine="480" w:firstLineChars="200"/>
        <w:rPr>
          <w:rFonts w:hAnsi="宋体" w:cs="宋体"/>
          <w:szCs w:val="24"/>
        </w:rPr>
      </w:pPr>
      <w:r>
        <w:rPr>
          <w:rFonts w:hint="eastAsia" w:hAnsi="宋体" w:cs="宋体"/>
          <w:szCs w:val="24"/>
        </w:rPr>
        <w:t>5、参加本次采购活动前三年内，在经营活动中没有重大违法记录；</w:t>
      </w:r>
    </w:p>
    <w:p w14:paraId="10CBAE6F">
      <w:pPr>
        <w:spacing w:after="50" w:line="360" w:lineRule="auto"/>
        <w:ind w:firstLine="480" w:firstLineChars="200"/>
        <w:rPr>
          <w:rFonts w:hAnsi="宋体" w:cs="宋体"/>
          <w:szCs w:val="24"/>
        </w:rPr>
      </w:pPr>
      <w:r>
        <w:rPr>
          <w:rFonts w:hint="eastAsia" w:hAnsi="宋体" w:cs="宋体"/>
          <w:szCs w:val="24"/>
        </w:rPr>
        <w:t>6、参加本次采购活动的供应商单位及其现任法定代表人、主要负责人不得存在行贿犯罪记录；</w:t>
      </w:r>
    </w:p>
    <w:p w14:paraId="3460582F">
      <w:pPr>
        <w:spacing w:after="50" w:line="360" w:lineRule="auto"/>
        <w:ind w:firstLine="480" w:firstLineChars="200"/>
        <w:rPr>
          <w:rFonts w:hAnsi="宋体" w:cs="宋体"/>
          <w:szCs w:val="24"/>
        </w:rPr>
      </w:pPr>
      <w:r>
        <w:rPr>
          <w:rFonts w:hint="eastAsia" w:hAnsi="宋体" w:cs="宋体"/>
          <w:szCs w:val="24"/>
        </w:rPr>
        <w:t>7、本项目不接受联合体参与本次采购活动；</w:t>
      </w:r>
    </w:p>
    <w:p w14:paraId="329FEA6F">
      <w:pPr>
        <w:spacing w:after="50" w:line="360" w:lineRule="auto"/>
        <w:ind w:firstLine="480" w:firstLineChars="200"/>
        <w:rPr>
          <w:rFonts w:hAnsi="宋体" w:cs="宋体"/>
          <w:szCs w:val="24"/>
        </w:rPr>
      </w:pPr>
      <w:r>
        <w:rPr>
          <w:rFonts w:hint="eastAsia" w:hAnsi="宋体" w:cs="宋体"/>
          <w:szCs w:val="24"/>
        </w:rPr>
        <w:t>8、本项目不允许合同分包。</w:t>
      </w:r>
    </w:p>
    <w:p w14:paraId="3AE67FAE">
      <w:pPr>
        <w:spacing w:after="50" w:line="360" w:lineRule="auto"/>
        <w:ind w:firstLine="480" w:firstLineChars="200"/>
        <w:rPr>
          <w:rFonts w:hAnsi="宋体" w:cs="宋体"/>
          <w:szCs w:val="24"/>
        </w:rPr>
      </w:pPr>
      <w:r>
        <w:rPr>
          <w:rFonts w:hint="eastAsia" w:hAnsi="宋体" w:cs="宋体"/>
          <w:szCs w:val="24"/>
        </w:rPr>
        <w:t>9、</w:t>
      </w:r>
      <w:r>
        <w:rPr>
          <w:rFonts w:hAnsi="宋体" w:cs="宋体"/>
          <w:szCs w:val="24"/>
        </w:rPr>
        <w:t>供应商不得为“信用中国”网站(www.creditchina.gov.cn)中列入失信被执行人和重大税收违法案件当事人名单的供应商</w:t>
      </w:r>
      <w:r>
        <w:rPr>
          <w:rFonts w:hint="eastAsia" w:hAnsi="宋体" w:cs="宋体"/>
          <w:szCs w:val="24"/>
        </w:rPr>
        <w:t>。</w:t>
      </w:r>
    </w:p>
    <w:p w14:paraId="6FEEBC9C">
      <w:pPr>
        <w:spacing w:after="50" w:line="360" w:lineRule="auto"/>
        <w:ind w:firstLine="480" w:firstLineChars="200"/>
        <w:rPr>
          <w:rFonts w:hAnsi="宋体" w:cs="宋体"/>
          <w:szCs w:val="24"/>
        </w:rPr>
      </w:pPr>
      <w:r>
        <w:rPr>
          <w:rFonts w:hint="eastAsia" w:hAnsi="宋体" w:cs="宋体"/>
          <w:szCs w:val="24"/>
        </w:rPr>
        <w:t>10、法律、行政法规规定的其他条件。</w:t>
      </w:r>
    </w:p>
    <w:p w14:paraId="42310771">
      <w:pPr>
        <w:spacing w:after="50" w:line="360" w:lineRule="auto"/>
        <w:ind w:firstLine="480" w:firstLineChars="200"/>
        <w:rPr>
          <w:rFonts w:hAnsi="宋体" w:cs="宋体"/>
          <w:szCs w:val="24"/>
        </w:rPr>
      </w:pPr>
      <w:r>
        <w:rPr>
          <w:rFonts w:hint="eastAsia" w:hAnsi="宋体" w:cs="宋体"/>
          <w:szCs w:val="24"/>
        </w:rPr>
        <w:t>11、本项目的特定资格要求：</w:t>
      </w:r>
    </w:p>
    <w:p w14:paraId="54039CE0">
      <w:pPr>
        <w:spacing w:after="50" w:line="360" w:lineRule="auto"/>
        <w:ind w:firstLine="480" w:firstLineChars="200"/>
        <w:rPr>
          <w:rFonts w:hAnsi="宋体" w:cs="宋体"/>
          <w:szCs w:val="24"/>
        </w:rPr>
      </w:pPr>
      <w:r>
        <w:rPr>
          <w:rFonts w:hint="eastAsia" w:hAnsi="宋体" w:cs="宋体"/>
          <w:szCs w:val="24"/>
        </w:rPr>
        <w:t>11.1 供应商需具备行政主管部门颁发在有效期内的电力施工总承包三级或输变电工程专业承包三级以上资质；</w:t>
      </w:r>
    </w:p>
    <w:p w14:paraId="55C0E838">
      <w:pPr>
        <w:spacing w:after="50" w:line="360" w:lineRule="auto"/>
        <w:ind w:firstLine="480" w:firstLineChars="200"/>
        <w:rPr>
          <w:rFonts w:hAnsi="宋体" w:cs="宋体"/>
          <w:szCs w:val="24"/>
        </w:rPr>
      </w:pPr>
      <w:r>
        <w:rPr>
          <w:rFonts w:hint="eastAsia" w:hAnsi="宋体" w:cs="宋体"/>
          <w:szCs w:val="24"/>
        </w:rPr>
        <w:t>11.2 具有国家能源局颁发的《承装（修、试）电力设施许可证》承装、承修、承试五级及以上许可证；</w:t>
      </w:r>
    </w:p>
    <w:p w14:paraId="512603F7">
      <w:pPr>
        <w:spacing w:after="50" w:line="360" w:lineRule="auto"/>
        <w:ind w:firstLine="480" w:firstLineChars="200"/>
        <w:rPr>
          <w:rFonts w:hAnsi="宋体" w:cs="宋体"/>
          <w:szCs w:val="24"/>
        </w:rPr>
      </w:pPr>
      <w:r>
        <w:rPr>
          <w:rFonts w:hint="eastAsia" w:hAnsi="宋体" w:cs="宋体"/>
          <w:szCs w:val="24"/>
        </w:rPr>
        <w:t>11.3 具备有效的《安全生产许可证》；</w:t>
      </w:r>
    </w:p>
    <w:p w14:paraId="5FBD4584">
      <w:pPr>
        <w:spacing w:after="50" w:line="360" w:lineRule="auto"/>
        <w:ind w:firstLine="480" w:firstLineChars="200"/>
        <w:rPr>
          <w:rFonts w:hAnsi="宋体" w:cs="宋体"/>
          <w:szCs w:val="24"/>
        </w:rPr>
      </w:pPr>
      <w:r>
        <w:rPr>
          <w:rFonts w:hint="eastAsia" w:hAnsi="宋体" w:cs="宋体"/>
          <w:szCs w:val="24"/>
        </w:rPr>
        <w:t>11.4 项目经理具有贰级或以上注册建造师资格（机电工程）和有效的安全生产考核合格证书 B证；</w:t>
      </w:r>
    </w:p>
    <w:bookmarkEnd w:id="33"/>
    <w:p w14:paraId="3FDED802">
      <w:pPr>
        <w:spacing w:line="360" w:lineRule="auto"/>
        <w:ind w:firstLine="472" w:firstLineChars="196"/>
        <w:rPr>
          <w:rFonts w:hAnsi="宋体" w:cs="宋体"/>
          <w:b/>
          <w:szCs w:val="24"/>
        </w:rPr>
      </w:pPr>
      <w:bookmarkStart w:id="34" w:name="_Toc9523"/>
      <w:bookmarkStart w:id="35" w:name="_Toc1098"/>
      <w:bookmarkStart w:id="36" w:name="_Toc22770"/>
      <w:bookmarkStart w:id="37" w:name="_Toc8758"/>
      <w:bookmarkStart w:id="38" w:name="_Toc1809"/>
      <w:bookmarkStart w:id="39" w:name="_Toc9215"/>
      <w:r>
        <w:rPr>
          <w:rFonts w:hint="eastAsia" w:hAnsi="宋体" w:cs="宋体"/>
          <w:b/>
          <w:szCs w:val="24"/>
        </w:rPr>
        <w:t>六、获取竞争性磋商文件的时间、地点、方式及售价：</w:t>
      </w:r>
      <w:bookmarkEnd w:id="34"/>
      <w:bookmarkEnd w:id="35"/>
      <w:bookmarkEnd w:id="36"/>
      <w:bookmarkEnd w:id="37"/>
      <w:bookmarkEnd w:id="38"/>
      <w:bookmarkEnd w:id="39"/>
    </w:p>
    <w:p w14:paraId="3B53D660">
      <w:pPr>
        <w:spacing w:after="50" w:line="360" w:lineRule="auto"/>
        <w:ind w:firstLine="482" w:firstLineChars="200"/>
        <w:rPr>
          <w:rFonts w:hAnsi="宋体" w:cs="宋体"/>
          <w:b/>
          <w:szCs w:val="24"/>
        </w:rPr>
      </w:pPr>
      <w:r>
        <w:rPr>
          <w:rFonts w:hint="eastAsia" w:hAnsi="宋体" w:cs="宋体"/>
          <w:b/>
          <w:szCs w:val="24"/>
        </w:rPr>
        <w:t>1、获取竞争性磋商文件的时间：</w:t>
      </w:r>
      <w:r>
        <w:rPr>
          <w:rFonts w:hint="eastAsia" w:hAnsi="宋体" w:cs="宋体"/>
          <w:b/>
          <w:szCs w:val="24"/>
          <w:u w:val="single"/>
        </w:rPr>
        <w:t>202</w:t>
      </w:r>
      <w:r>
        <w:rPr>
          <w:rFonts w:hAnsi="宋体" w:cs="宋体"/>
          <w:b/>
          <w:szCs w:val="24"/>
          <w:u w:val="single"/>
        </w:rPr>
        <w:t>4</w:t>
      </w:r>
      <w:r>
        <w:rPr>
          <w:rFonts w:hint="eastAsia" w:hAnsi="宋体" w:cs="宋体"/>
          <w:b/>
          <w:szCs w:val="24"/>
          <w:u w:val="single"/>
        </w:rPr>
        <w:t>年5月17日至202</w:t>
      </w:r>
      <w:r>
        <w:rPr>
          <w:rFonts w:hAnsi="宋体" w:cs="宋体"/>
          <w:b/>
          <w:szCs w:val="24"/>
          <w:u w:val="single"/>
        </w:rPr>
        <w:t>4</w:t>
      </w:r>
      <w:r>
        <w:rPr>
          <w:rFonts w:hint="eastAsia" w:hAnsi="宋体" w:cs="宋体"/>
          <w:b/>
          <w:szCs w:val="24"/>
          <w:u w:val="single"/>
        </w:rPr>
        <w:t>年5月23日</w:t>
      </w:r>
      <w:r>
        <w:rPr>
          <w:rFonts w:hAnsi="宋体"/>
          <w:b/>
          <w:szCs w:val="24"/>
          <w:u w:val="single"/>
        </w:rPr>
        <w:t>09</w:t>
      </w:r>
      <w:r>
        <w:rPr>
          <w:rFonts w:hint="eastAsia" w:hAnsi="宋体"/>
          <w:b/>
          <w:szCs w:val="24"/>
          <w:u w:val="single"/>
        </w:rPr>
        <w:t>：00至12:00，14:00至</w:t>
      </w:r>
      <w:r>
        <w:rPr>
          <w:rFonts w:hAnsi="宋体"/>
          <w:b/>
          <w:szCs w:val="24"/>
          <w:u w:val="single"/>
        </w:rPr>
        <w:t>17</w:t>
      </w:r>
      <w:r>
        <w:rPr>
          <w:rFonts w:hint="eastAsia" w:hAnsi="宋体"/>
          <w:b/>
          <w:szCs w:val="24"/>
          <w:u w:val="single"/>
        </w:rPr>
        <w:t>：</w:t>
      </w:r>
      <w:r>
        <w:rPr>
          <w:rFonts w:hAnsi="宋体"/>
          <w:b/>
          <w:szCs w:val="24"/>
          <w:u w:val="single"/>
        </w:rPr>
        <w:t>00</w:t>
      </w:r>
      <w:r>
        <w:rPr>
          <w:rFonts w:hint="eastAsia" w:hAnsi="宋体" w:cs="宋体"/>
          <w:b/>
          <w:szCs w:val="24"/>
          <w:u w:val="single"/>
        </w:rPr>
        <w:t>（北京时间，法定节假日除外）</w:t>
      </w:r>
      <w:r>
        <w:rPr>
          <w:rFonts w:hint="eastAsia" w:hAnsi="宋体" w:cs="宋体"/>
          <w:b/>
          <w:szCs w:val="24"/>
        </w:rPr>
        <w:t>；</w:t>
      </w:r>
    </w:p>
    <w:p w14:paraId="6EE6F7C1">
      <w:pPr>
        <w:spacing w:after="50" w:line="360" w:lineRule="auto"/>
        <w:ind w:firstLine="482" w:firstLineChars="200"/>
        <w:rPr>
          <w:rFonts w:hAnsi="宋体" w:cs="宋体"/>
          <w:szCs w:val="24"/>
        </w:rPr>
      </w:pPr>
      <w:r>
        <w:rPr>
          <w:rFonts w:hint="eastAsia" w:hAnsi="宋体" w:cs="宋体"/>
          <w:b/>
          <w:bCs/>
          <w:szCs w:val="24"/>
        </w:rPr>
        <w:t>2、获取竞争性磋商文件的地点：</w:t>
      </w:r>
      <w:r>
        <w:rPr>
          <w:rFonts w:hint="eastAsia" w:hAnsi="宋体" w:cs="宋体"/>
          <w:szCs w:val="24"/>
        </w:rPr>
        <w:t>四川正达建安工程项目管理有限公司（江油市联想科技城白玉路681号）或通过电子邮件方式（联系人：黄女士，联系电话：17309012029，邮箱：</w:t>
      </w:r>
      <w:r>
        <w:fldChar w:fldCharType="begin"/>
      </w:r>
      <w:r>
        <w:instrText xml:space="preserve"> HYPERLINK "mailto:946221799@qq.com" </w:instrText>
      </w:r>
      <w:r>
        <w:fldChar w:fldCharType="separate"/>
      </w:r>
      <w:r>
        <w:rPr>
          <w:rFonts w:hint="eastAsia" w:hAnsi="宋体" w:cs="宋体"/>
          <w:szCs w:val="24"/>
        </w:rPr>
        <w:t>503440490@qq.com</w:t>
      </w:r>
      <w:r>
        <w:rPr>
          <w:rFonts w:hint="eastAsia" w:hAnsi="宋体" w:cs="宋体"/>
          <w:szCs w:val="24"/>
        </w:rPr>
        <w:fldChar w:fldCharType="end"/>
      </w:r>
      <w:r>
        <w:rPr>
          <w:rFonts w:hint="eastAsia" w:hAnsi="宋体" w:cs="宋体"/>
          <w:szCs w:val="24"/>
        </w:rPr>
        <w:t>）。</w:t>
      </w:r>
    </w:p>
    <w:p w14:paraId="19F64D6D">
      <w:pPr>
        <w:spacing w:after="50" w:line="360" w:lineRule="auto"/>
        <w:ind w:firstLine="482" w:firstLineChars="200"/>
        <w:rPr>
          <w:rFonts w:hAnsi="宋体" w:cs="宋体"/>
          <w:b/>
          <w:bCs/>
          <w:szCs w:val="24"/>
        </w:rPr>
      </w:pPr>
      <w:r>
        <w:rPr>
          <w:rFonts w:hint="eastAsia" w:hAnsi="宋体" w:cs="宋体"/>
          <w:b/>
          <w:bCs/>
          <w:szCs w:val="24"/>
        </w:rPr>
        <w:t>3、获取竞争性磋商文件的方式及竞争性磋商文件售价：</w:t>
      </w:r>
    </w:p>
    <w:p w14:paraId="790B7B30">
      <w:pPr>
        <w:spacing w:after="50" w:line="360" w:lineRule="auto"/>
        <w:ind w:firstLine="482" w:firstLineChars="200"/>
        <w:rPr>
          <w:rFonts w:hAnsi="宋体" w:cs="宋体"/>
          <w:szCs w:val="24"/>
        </w:rPr>
      </w:pPr>
      <w:r>
        <w:rPr>
          <w:rFonts w:hint="eastAsia" w:hAnsi="宋体" w:cs="宋体"/>
          <w:b/>
          <w:bCs/>
          <w:szCs w:val="24"/>
        </w:rPr>
        <w:t>3.1获取竞争性磋商文件的方式：</w:t>
      </w:r>
      <w:r>
        <w:rPr>
          <w:rFonts w:hint="eastAsia" w:hAnsi="宋体" w:cs="宋体"/>
          <w:szCs w:val="24"/>
        </w:rPr>
        <w:t>现场获取或电子邮件获取。获取竞争性磋商文件时需提供加盖鲜章的营业执照复印件、单位介绍信、经办人身份证明；供应商提供的资料须真实、完整、有效，未按要求提供资料的代理机构不予受理，提供资料中出现虚假、错误信息等所带来的后果由供应商自行承担。</w:t>
      </w:r>
    </w:p>
    <w:p w14:paraId="792DDB8F">
      <w:pPr>
        <w:spacing w:after="50" w:line="360" w:lineRule="auto"/>
        <w:ind w:firstLine="482" w:firstLineChars="200"/>
        <w:rPr>
          <w:rFonts w:hAnsi="宋体" w:cs="宋体"/>
          <w:b/>
          <w:bCs/>
          <w:szCs w:val="24"/>
        </w:rPr>
      </w:pPr>
      <w:r>
        <w:rPr>
          <w:rFonts w:hint="eastAsia" w:hAnsi="宋体" w:cs="宋体"/>
          <w:b/>
          <w:bCs/>
          <w:szCs w:val="24"/>
        </w:rPr>
        <w:t>3.2竞争性磋商文件售价为：</w:t>
      </w:r>
      <w:r>
        <w:rPr>
          <w:rFonts w:hint="eastAsia" w:hAnsi="宋体" w:cs="宋体"/>
          <w:b/>
          <w:bCs/>
          <w:szCs w:val="24"/>
          <w:u w:val="single"/>
        </w:rPr>
        <w:t>人民币300元/份</w:t>
      </w:r>
      <w:r>
        <w:rPr>
          <w:rFonts w:hint="eastAsia" w:hAnsi="宋体" w:cs="宋体"/>
          <w:b/>
          <w:bCs/>
          <w:szCs w:val="24"/>
        </w:rPr>
        <w:t>（竞争性磋商文件售后不退,磋商资格不能转让）。</w:t>
      </w:r>
    </w:p>
    <w:p w14:paraId="463082CE">
      <w:pPr>
        <w:spacing w:after="50" w:line="360" w:lineRule="auto"/>
        <w:ind w:firstLine="482" w:firstLineChars="200"/>
        <w:rPr>
          <w:rFonts w:hAnsi="宋体" w:cs="宋体"/>
          <w:b/>
          <w:bCs/>
          <w:szCs w:val="24"/>
        </w:rPr>
      </w:pPr>
      <w:r>
        <w:rPr>
          <w:rFonts w:hint="eastAsia" w:hAnsi="宋体" w:cs="宋体"/>
          <w:b/>
          <w:bCs/>
          <w:szCs w:val="24"/>
        </w:rPr>
        <w:t>报名费可现金支付也可微信转账（请注明公司名称+项目名称+报名费），两种方式任选其一。</w:t>
      </w:r>
    </w:p>
    <w:p w14:paraId="43E33FAD">
      <w:pPr>
        <w:spacing w:after="50" w:line="360" w:lineRule="auto"/>
        <w:ind w:firstLine="482" w:firstLineChars="200"/>
        <w:rPr>
          <w:rFonts w:hAnsi="宋体" w:cs="宋体"/>
          <w:bCs/>
          <w:szCs w:val="24"/>
        </w:rPr>
      </w:pPr>
      <w:r>
        <w:rPr>
          <w:rFonts w:hint="eastAsia" w:hAnsi="宋体" w:cs="宋体"/>
          <w:b/>
          <w:bCs/>
          <w:szCs w:val="24"/>
        </w:rPr>
        <w:t>方式1：</w:t>
      </w:r>
      <w:r>
        <w:rPr>
          <w:rFonts w:hint="eastAsia" w:hAnsi="宋体" w:cs="宋体"/>
          <w:bCs/>
          <w:szCs w:val="24"/>
        </w:rPr>
        <w:t>采取微信转账，邮箱提供报名资料，代理机构确认无误后，通过邮箱发送二维码。</w:t>
      </w:r>
    </w:p>
    <w:p w14:paraId="24832A60">
      <w:pPr>
        <w:spacing w:after="50" w:line="360" w:lineRule="auto"/>
        <w:ind w:firstLine="482" w:firstLineChars="200"/>
        <w:rPr>
          <w:rFonts w:hAnsi="宋体" w:cs="宋体"/>
          <w:bCs/>
          <w:szCs w:val="24"/>
        </w:rPr>
      </w:pPr>
      <w:r>
        <w:rPr>
          <w:rFonts w:hint="eastAsia" w:hAnsi="宋体" w:cs="宋体"/>
          <w:b/>
          <w:bCs/>
          <w:szCs w:val="24"/>
        </w:rPr>
        <w:t>方式2：</w:t>
      </w:r>
      <w:r>
        <w:rPr>
          <w:rFonts w:hint="eastAsia" w:hAnsi="宋体" w:cs="宋体"/>
          <w:bCs/>
          <w:szCs w:val="24"/>
        </w:rPr>
        <w:t>采取现金形式</w:t>
      </w:r>
    </w:p>
    <w:p w14:paraId="102679C9">
      <w:pPr>
        <w:spacing w:after="50" w:line="360" w:lineRule="auto"/>
        <w:ind w:firstLine="480" w:firstLineChars="200"/>
        <w:rPr>
          <w:rFonts w:hAnsi="宋体" w:cs="宋体"/>
          <w:bCs/>
          <w:szCs w:val="24"/>
        </w:rPr>
      </w:pPr>
      <w:r>
        <w:rPr>
          <w:rFonts w:hint="eastAsia" w:hAnsi="宋体" w:cs="宋体"/>
          <w:bCs/>
          <w:szCs w:val="24"/>
        </w:rPr>
        <w:t>注：两种方式任选其一。</w:t>
      </w:r>
    </w:p>
    <w:p w14:paraId="6A1D42F8">
      <w:pPr>
        <w:spacing w:after="50" w:line="360" w:lineRule="auto"/>
        <w:ind w:firstLine="482" w:firstLineChars="200"/>
        <w:rPr>
          <w:rFonts w:hAnsi="宋体" w:cs="宋体"/>
          <w:b/>
          <w:szCs w:val="24"/>
        </w:rPr>
      </w:pPr>
      <w:r>
        <w:rPr>
          <w:rFonts w:hint="eastAsia" w:hAnsi="宋体" w:cs="宋体"/>
          <w:b/>
          <w:szCs w:val="24"/>
        </w:rPr>
        <w:t>七、响应文件递交截止时间：</w:t>
      </w:r>
      <w:r>
        <w:rPr>
          <w:rFonts w:hint="eastAsia" w:hAnsi="宋体" w:cs="宋体"/>
          <w:b/>
          <w:szCs w:val="24"/>
          <w:u w:val="single"/>
        </w:rPr>
        <w:t>202</w:t>
      </w:r>
      <w:r>
        <w:rPr>
          <w:rFonts w:hAnsi="宋体" w:cs="宋体"/>
          <w:b/>
          <w:szCs w:val="24"/>
          <w:u w:val="single"/>
        </w:rPr>
        <w:t>4</w:t>
      </w:r>
      <w:r>
        <w:rPr>
          <w:rFonts w:hint="eastAsia" w:hAnsi="宋体" w:cs="宋体"/>
          <w:b/>
          <w:szCs w:val="24"/>
          <w:u w:val="single"/>
        </w:rPr>
        <w:t>年5月27日1</w:t>
      </w:r>
      <w:r>
        <w:rPr>
          <w:rFonts w:hint="eastAsia" w:hAnsi="宋体" w:cs="宋体"/>
          <w:b/>
          <w:szCs w:val="24"/>
          <w:u w:val="single"/>
          <w:lang w:val="en-US" w:eastAsia="zh-CN"/>
        </w:rPr>
        <w:t>3</w:t>
      </w:r>
      <w:r>
        <w:rPr>
          <w:rFonts w:hint="eastAsia" w:hAnsi="宋体" w:cs="宋体"/>
          <w:b/>
          <w:szCs w:val="24"/>
          <w:u w:val="single"/>
        </w:rPr>
        <w:t>时</w:t>
      </w:r>
      <w:r>
        <w:rPr>
          <w:rFonts w:hint="eastAsia" w:hAnsi="宋体" w:cs="宋体"/>
          <w:b/>
          <w:szCs w:val="24"/>
          <w:u w:val="single"/>
          <w:lang w:val="en-US" w:eastAsia="zh-CN"/>
        </w:rPr>
        <w:t>3</w:t>
      </w:r>
      <w:r>
        <w:rPr>
          <w:rFonts w:hint="eastAsia" w:hAnsi="宋体" w:cs="宋体"/>
          <w:b/>
          <w:szCs w:val="24"/>
          <w:u w:val="single"/>
        </w:rPr>
        <w:t>0分</w:t>
      </w:r>
      <w:r>
        <w:rPr>
          <w:rFonts w:hint="eastAsia" w:hAnsi="宋体" w:cs="宋体"/>
          <w:b/>
          <w:szCs w:val="24"/>
        </w:rPr>
        <w:t>（北京时间）。</w:t>
      </w:r>
    </w:p>
    <w:p w14:paraId="53FA771A">
      <w:pPr>
        <w:spacing w:after="50" w:line="360" w:lineRule="auto"/>
        <w:ind w:firstLine="480" w:firstLineChars="200"/>
        <w:rPr>
          <w:rFonts w:hAnsi="宋体" w:cs="宋体"/>
          <w:bCs/>
          <w:szCs w:val="24"/>
          <w:lang w:val="zh-CN"/>
        </w:rPr>
      </w:pPr>
      <w:r>
        <w:rPr>
          <w:rFonts w:hint="eastAsia" w:hAnsi="宋体" w:cs="宋体"/>
          <w:bCs/>
          <w:szCs w:val="24"/>
        </w:rPr>
        <w:t>（响应文件必须在响应文件递交截止时间前密封送达磋商地点，未按要求送达的</w:t>
      </w:r>
      <w:r>
        <w:rPr>
          <w:rFonts w:hint="eastAsia" w:hAnsi="宋体" w:cs="宋体"/>
          <w:szCs w:val="24"/>
        </w:rPr>
        <w:t>响应文件，为无效响应文件，采购代理机构拒收。</w:t>
      </w:r>
      <w:r>
        <w:rPr>
          <w:rFonts w:hint="eastAsia" w:hAnsi="宋体" w:cs="宋体"/>
          <w:bCs/>
          <w:szCs w:val="24"/>
        </w:rPr>
        <w:t>本次磋商不接受</w:t>
      </w:r>
      <w:r>
        <w:rPr>
          <w:rFonts w:hint="eastAsia" w:hAnsi="宋体"/>
          <w:szCs w:val="24"/>
        </w:rPr>
        <w:t>其他方式递交</w:t>
      </w:r>
      <w:r>
        <w:rPr>
          <w:rFonts w:hint="eastAsia" w:hAnsi="宋体" w:cs="宋体"/>
          <w:bCs/>
          <w:szCs w:val="24"/>
        </w:rPr>
        <w:t>的响应文件）。</w:t>
      </w:r>
    </w:p>
    <w:p w14:paraId="0B090BF6">
      <w:pPr>
        <w:spacing w:line="360" w:lineRule="auto"/>
        <w:ind w:firstLine="482" w:firstLineChars="200"/>
        <w:rPr>
          <w:rFonts w:hAnsi="宋体" w:cs="宋体"/>
          <w:szCs w:val="24"/>
        </w:rPr>
      </w:pPr>
      <w:r>
        <w:rPr>
          <w:rFonts w:hint="eastAsia" w:hAnsi="宋体" w:cs="宋体"/>
          <w:b/>
          <w:szCs w:val="24"/>
        </w:rPr>
        <w:t>八、</w:t>
      </w:r>
      <w:r>
        <w:rPr>
          <w:rFonts w:hint="eastAsia" w:hAnsi="宋体"/>
          <w:b/>
          <w:szCs w:val="24"/>
        </w:rPr>
        <w:t>响应文件递交地点及磋商地点：</w:t>
      </w:r>
      <w:r>
        <w:rPr>
          <w:rFonts w:hint="eastAsia" w:asciiTheme="minorEastAsia" w:hAnsiTheme="minorEastAsia" w:cstheme="minorEastAsia"/>
          <w:sz w:val="24"/>
          <w:szCs w:val="24"/>
        </w:rPr>
        <w:t>绵阳市涪城区乐荟城11楼</w:t>
      </w:r>
      <w:r>
        <w:rPr>
          <w:rFonts w:hint="eastAsia" w:hAnsi="宋体" w:cs="宋体"/>
          <w:szCs w:val="24"/>
        </w:rPr>
        <w:t xml:space="preserve"> 。</w:t>
      </w:r>
    </w:p>
    <w:p w14:paraId="1525C545">
      <w:pPr>
        <w:spacing w:line="360" w:lineRule="auto"/>
        <w:ind w:firstLine="472" w:firstLineChars="196"/>
        <w:rPr>
          <w:rFonts w:hAnsi="宋体" w:cs="宋体"/>
          <w:b/>
          <w:szCs w:val="24"/>
        </w:rPr>
      </w:pPr>
      <w:r>
        <w:rPr>
          <w:rFonts w:hint="eastAsia" w:hAnsi="宋体" w:cs="宋体"/>
          <w:b/>
          <w:szCs w:val="24"/>
        </w:rPr>
        <w:t>九、响应文件开启时间：</w:t>
      </w:r>
      <w:r>
        <w:rPr>
          <w:rFonts w:hint="eastAsia" w:hAnsi="宋体" w:cs="宋体"/>
          <w:b/>
          <w:szCs w:val="24"/>
          <w:u w:val="single"/>
        </w:rPr>
        <w:t>202</w:t>
      </w:r>
      <w:r>
        <w:rPr>
          <w:rFonts w:hAnsi="宋体" w:cs="宋体"/>
          <w:b/>
          <w:szCs w:val="24"/>
          <w:u w:val="single"/>
        </w:rPr>
        <w:t>4</w:t>
      </w:r>
      <w:r>
        <w:rPr>
          <w:rFonts w:hint="eastAsia" w:hAnsi="宋体" w:cs="宋体"/>
          <w:b/>
          <w:szCs w:val="24"/>
          <w:u w:val="single"/>
        </w:rPr>
        <w:t>年5月27日1</w:t>
      </w:r>
      <w:r>
        <w:rPr>
          <w:rFonts w:hint="eastAsia" w:hAnsi="宋体" w:cs="宋体"/>
          <w:b/>
          <w:szCs w:val="24"/>
          <w:u w:val="single"/>
          <w:lang w:val="en-US" w:eastAsia="zh-CN"/>
        </w:rPr>
        <w:t>3</w:t>
      </w:r>
      <w:r>
        <w:rPr>
          <w:rFonts w:hint="eastAsia" w:hAnsi="宋体" w:cs="宋体"/>
          <w:b/>
          <w:szCs w:val="24"/>
          <w:u w:val="single"/>
        </w:rPr>
        <w:t>时</w:t>
      </w:r>
      <w:r>
        <w:rPr>
          <w:rFonts w:hint="eastAsia" w:hAnsi="宋体" w:cs="宋体"/>
          <w:b/>
          <w:szCs w:val="24"/>
          <w:u w:val="single"/>
          <w:lang w:val="en-US" w:eastAsia="zh-CN"/>
        </w:rPr>
        <w:t>3</w:t>
      </w:r>
      <w:r>
        <w:rPr>
          <w:rFonts w:hint="eastAsia" w:hAnsi="宋体" w:cs="宋体"/>
          <w:b/>
          <w:szCs w:val="24"/>
          <w:u w:val="single"/>
        </w:rPr>
        <w:t>0分（北京时间）</w:t>
      </w:r>
      <w:r>
        <w:rPr>
          <w:rFonts w:hint="eastAsia" w:hAnsi="宋体" w:cs="宋体"/>
          <w:b/>
          <w:szCs w:val="24"/>
        </w:rPr>
        <w:t>在磋商地点开启。</w:t>
      </w:r>
    </w:p>
    <w:p w14:paraId="4F90396E">
      <w:pPr>
        <w:spacing w:line="360" w:lineRule="auto"/>
        <w:ind w:firstLine="472" w:firstLineChars="196"/>
        <w:rPr>
          <w:rFonts w:hAnsi="宋体" w:cs="宋体"/>
          <w:b/>
          <w:szCs w:val="24"/>
        </w:rPr>
      </w:pPr>
      <w:r>
        <w:rPr>
          <w:rFonts w:hint="eastAsia" w:hAnsi="宋体" w:cs="宋体"/>
          <w:b/>
          <w:szCs w:val="24"/>
        </w:rPr>
        <w:t>十、本竞争性磋商邀</w:t>
      </w:r>
      <w:r>
        <w:rPr>
          <w:rFonts w:hint="eastAsia" w:hAnsi="宋体"/>
          <w:b/>
          <w:szCs w:val="24"/>
        </w:rPr>
        <w:t>请在</w:t>
      </w:r>
      <w:r>
        <w:rPr>
          <w:rFonts w:hint="eastAsia" w:hAnsi="宋体"/>
          <w:b/>
          <w:szCs w:val="24"/>
          <w:lang w:val="en-US" w:eastAsia="zh-CN"/>
        </w:rPr>
        <w:t>中国采购招标网</w:t>
      </w:r>
      <w:r>
        <w:rPr>
          <w:rFonts w:hint="eastAsia" w:hAnsi="宋体"/>
          <w:b/>
          <w:szCs w:val="24"/>
        </w:rPr>
        <w:t>以</w:t>
      </w:r>
      <w:r>
        <w:rPr>
          <w:rFonts w:hint="eastAsia" w:hAnsi="宋体" w:cs="宋体"/>
          <w:b/>
          <w:szCs w:val="24"/>
        </w:rPr>
        <w:t>公告形式发布。</w:t>
      </w:r>
    </w:p>
    <w:p w14:paraId="2AF93517">
      <w:pPr>
        <w:pStyle w:val="35"/>
        <w:ind w:firstLine="482"/>
        <w:rPr>
          <w:rFonts w:hAnsi="宋体" w:cs="宋体"/>
          <w:b/>
          <w:szCs w:val="24"/>
        </w:rPr>
      </w:pPr>
      <w:r>
        <w:rPr>
          <w:rFonts w:hint="eastAsia" w:hAnsi="宋体" w:cs="宋体"/>
          <w:b/>
          <w:szCs w:val="24"/>
        </w:rPr>
        <w:t>十一、联系方式：</w:t>
      </w:r>
    </w:p>
    <w:p w14:paraId="5D93DD60">
      <w:pPr>
        <w:pStyle w:val="35"/>
        <w:ind w:firstLine="482"/>
        <w:rPr>
          <w:rFonts w:hAnsi="宋体" w:cs="宋体"/>
          <w:b/>
          <w:szCs w:val="24"/>
        </w:rPr>
      </w:pPr>
      <w:bookmarkStart w:id="40" w:name="_Toc9625"/>
      <w:bookmarkStart w:id="41" w:name="_Toc29099"/>
      <w:bookmarkStart w:id="42" w:name="_Toc6453"/>
      <w:bookmarkStart w:id="43" w:name="_Toc4131"/>
      <w:bookmarkStart w:id="44" w:name="_Toc279"/>
      <w:bookmarkStart w:id="45" w:name="_Toc8558"/>
      <w:bookmarkStart w:id="46" w:name="_Toc4977"/>
      <w:bookmarkStart w:id="47" w:name="_Toc29874"/>
      <w:bookmarkStart w:id="48" w:name="_Toc21985"/>
      <w:r>
        <w:rPr>
          <w:rFonts w:hint="eastAsia" w:hAnsi="宋体" w:cs="宋体"/>
          <w:b/>
          <w:szCs w:val="24"/>
        </w:rPr>
        <w:t>采 购 人：</w:t>
      </w:r>
      <w:bookmarkEnd w:id="40"/>
      <w:bookmarkEnd w:id="41"/>
      <w:bookmarkEnd w:id="42"/>
      <w:bookmarkEnd w:id="43"/>
      <w:bookmarkEnd w:id="44"/>
      <w:bookmarkEnd w:id="45"/>
      <w:bookmarkEnd w:id="46"/>
      <w:bookmarkEnd w:id="47"/>
      <w:bookmarkEnd w:id="48"/>
      <w:bookmarkStart w:id="49" w:name="_Toc32158"/>
      <w:bookmarkStart w:id="50" w:name="_Toc3799"/>
      <w:bookmarkStart w:id="51" w:name="_Toc2905"/>
      <w:bookmarkStart w:id="52" w:name="_Toc27515"/>
      <w:bookmarkStart w:id="53" w:name="_Toc14080"/>
      <w:bookmarkStart w:id="54" w:name="_Toc5178"/>
      <w:bookmarkStart w:id="55" w:name="_Toc25236"/>
      <w:bookmarkStart w:id="56" w:name="_Toc1209"/>
      <w:bookmarkStart w:id="57" w:name="_Toc19273"/>
      <w:bookmarkStart w:id="58" w:name="_Toc9619"/>
      <w:bookmarkStart w:id="59" w:name="_Toc32202"/>
      <w:r>
        <w:rPr>
          <w:rFonts w:hint="eastAsia" w:ascii="仿宋" w:hAnsi="仿宋" w:eastAsia="仿宋" w:cs="仿宋"/>
          <w:szCs w:val="24"/>
        </w:rPr>
        <w:t>绵阳仙海环鸿水务有限公司</w:t>
      </w:r>
      <w:r>
        <w:rPr>
          <w:rFonts w:hint="eastAsia" w:hAnsi="宋体" w:cs="宋体"/>
          <w:b/>
          <w:szCs w:val="24"/>
        </w:rPr>
        <w:t xml:space="preserve"> </w:t>
      </w:r>
    </w:p>
    <w:p w14:paraId="263CE226">
      <w:pPr>
        <w:pStyle w:val="35"/>
        <w:ind w:firstLine="480"/>
        <w:rPr>
          <w:rFonts w:ascii="仿宋" w:hAnsi="仿宋" w:eastAsia="仿宋" w:cs="仿宋"/>
          <w:szCs w:val="24"/>
        </w:rPr>
      </w:pPr>
      <w:r>
        <w:rPr>
          <w:rFonts w:hint="eastAsia" w:cs="宋体"/>
          <w:szCs w:val="24"/>
        </w:rPr>
        <w:t>地    址：</w:t>
      </w:r>
      <w:r>
        <w:rPr>
          <w:rFonts w:hint="eastAsia" w:ascii="仿宋" w:hAnsi="仿宋" w:eastAsia="仿宋" w:cs="仿宋"/>
          <w:szCs w:val="24"/>
        </w:rPr>
        <w:t xml:space="preserve">绵阳市仙海区广场商业街9栋 </w:t>
      </w:r>
    </w:p>
    <w:p w14:paraId="6D66EA61">
      <w:pPr>
        <w:spacing w:line="360" w:lineRule="auto"/>
        <w:ind w:firstLine="480" w:firstLineChars="200"/>
        <w:rPr>
          <w:rFonts w:cs="宋体"/>
          <w:szCs w:val="24"/>
        </w:rPr>
      </w:pPr>
      <w:r>
        <w:rPr>
          <w:rFonts w:hint="eastAsia" w:cs="宋体"/>
          <w:szCs w:val="24"/>
        </w:rPr>
        <w:t>联 系 人：</w:t>
      </w:r>
      <w:r>
        <w:rPr>
          <w:rFonts w:hint="eastAsia" w:ascii="仿宋" w:hAnsi="仿宋" w:eastAsia="仿宋" w:cs="仿宋"/>
          <w:szCs w:val="24"/>
        </w:rPr>
        <w:t>周老师</w:t>
      </w:r>
      <w:r>
        <w:rPr>
          <w:rFonts w:hint="eastAsia" w:cs="宋体"/>
          <w:szCs w:val="24"/>
        </w:rPr>
        <w:t xml:space="preserve"> </w:t>
      </w:r>
    </w:p>
    <w:p w14:paraId="1C2443AD">
      <w:pPr>
        <w:pStyle w:val="35"/>
        <w:ind w:firstLine="480"/>
        <w:rPr>
          <w:rFonts w:cs="宋体"/>
          <w:szCs w:val="24"/>
        </w:rPr>
      </w:pPr>
      <w:r>
        <w:rPr>
          <w:rFonts w:hint="eastAsia" w:cs="宋体"/>
          <w:szCs w:val="24"/>
        </w:rPr>
        <w:t>联系电话：</w:t>
      </w:r>
      <w:r>
        <w:rPr>
          <w:rFonts w:hint="eastAsia" w:ascii="仿宋" w:hAnsi="仿宋" w:eastAsia="仿宋" w:cs="仿宋"/>
          <w:szCs w:val="24"/>
        </w:rPr>
        <w:t>0816-2760775</w:t>
      </w:r>
      <w:r>
        <w:rPr>
          <w:rFonts w:hint="eastAsia" w:cs="宋体"/>
          <w:szCs w:val="24"/>
        </w:rPr>
        <w:t xml:space="preserve"> </w:t>
      </w:r>
    </w:p>
    <w:p w14:paraId="602C225B">
      <w:pPr>
        <w:pStyle w:val="35"/>
        <w:ind w:firstLine="482"/>
        <w:rPr>
          <w:rFonts w:hAnsi="宋体" w:cs="宋体"/>
          <w:b/>
          <w:szCs w:val="24"/>
        </w:rPr>
      </w:pPr>
      <w:r>
        <w:rPr>
          <w:rFonts w:hint="eastAsia" w:hAnsi="宋体" w:cs="宋体"/>
          <w:b/>
          <w:szCs w:val="24"/>
        </w:rPr>
        <w:t>采购代理机构：</w:t>
      </w:r>
      <w:bookmarkEnd w:id="49"/>
      <w:bookmarkEnd w:id="50"/>
      <w:bookmarkEnd w:id="51"/>
      <w:bookmarkEnd w:id="52"/>
      <w:bookmarkEnd w:id="53"/>
      <w:bookmarkEnd w:id="54"/>
      <w:bookmarkEnd w:id="55"/>
      <w:bookmarkEnd w:id="56"/>
      <w:bookmarkEnd w:id="57"/>
      <w:bookmarkEnd w:id="58"/>
      <w:bookmarkEnd w:id="59"/>
      <w:r>
        <w:rPr>
          <w:rFonts w:hint="eastAsia" w:ascii="仿宋" w:hAnsi="仿宋" w:eastAsia="仿宋" w:cs="仿宋"/>
          <w:szCs w:val="24"/>
        </w:rPr>
        <w:t>四川正达建安工程项目管理有限公司</w:t>
      </w:r>
      <w:r>
        <w:rPr>
          <w:rFonts w:hint="eastAsia" w:hAnsi="宋体" w:cs="宋体"/>
          <w:b/>
          <w:szCs w:val="24"/>
        </w:rPr>
        <w:t xml:space="preserve"> </w:t>
      </w:r>
    </w:p>
    <w:p w14:paraId="0FC1AB6F">
      <w:pPr>
        <w:spacing w:after="50" w:line="360" w:lineRule="auto"/>
        <w:ind w:firstLine="480" w:firstLineChars="200"/>
        <w:rPr>
          <w:rFonts w:hAnsi="宋体" w:cs="宋体"/>
          <w:szCs w:val="24"/>
        </w:rPr>
      </w:pPr>
      <w:r>
        <w:rPr>
          <w:rFonts w:hint="eastAsia" w:hAnsi="宋体" w:cs="宋体"/>
          <w:szCs w:val="24"/>
        </w:rPr>
        <w:t>地    址：</w:t>
      </w:r>
      <w:r>
        <w:rPr>
          <w:rFonts w:hint="eastAsia" w:ascii="仿宋" w:hAnsi="仿宋" w:eastAsia="仿宋" w:cs="仿宋"/>
          <w:lang w:val="zh-CN"/>
        </w:rPr>
        <w:t>联想科技城白玉路681号</w:t>
      </w:r>
      <w:r>
        <w:rPr>
          <w:rFonts w:hint="eastAsia" w:hAnsi="宋体" w:cs="宋体"/>
          <w:szCs w:val="24"/>
        </w:rPr>
        <w:t xml:space="preserve"> </w:t>
      </w:r>
    </w:p>
    <w:p w14:paraId="1D69222A">
      <w:pPr>
        <w:spacing w:after="50" w:line="360" w:lineRule="auto"/>
        <w:ind w:firstLine="480" w:firstLineChars="200"/>
        <w:rPr>
          <w:rFonts w:hAnsi="宋体" w:cs="宋体"/>
          <w:szCs w:val="24"/>
        </w:rPr>
      </w:pPr>
      <w:r>
        <w:rPr>
          <w:rFonts w:hint="eastAsia" w:hAnsi="宋体" w:cs="宋体"/>
          <w:szCs w:val="24"/>
        </w:rPr>
        <w:t>邮    编：</w:t>
      </w:r>
      <w:r>
        <w:rPr>
          <w:rFonts w:hint="eastAsia" w:ascii="仿宋" w:hAnsi="仿宋" w:eastAsia="仿宋" w:cs="仿宋"/>
          <w:lang w:val="zh-CN"/>
        </w:rPr>
        <w:t>621700</w:t>
      </w:r>
      <w:r>
        <w:rPr>
          <w:rFonts w:hint="eastAsia" w:hAnsi="宋体" w:cs="宋体"/>
          <w:szCs w:val="24"/>
        </w:rPr>
        <w:t xml:space="preserve"> </w:t>
      </w:r>
    </w:p>
    <w:p w14:paraId="339E07F1">
      <w:pPr>
        <w:spacing w:after="50" w:line="360" w:lineRule="auto"/>
        <w:ind w:firstLine="480" w:firstLineChars="200"/>
        <w:rPr>
          <w:rFonts w:hAnsi="宋体" w:cs="宋体"/>
          <w:szCs w:val="24"/>
        </w:rPr>
      </w:pPr>
      <w:r>
        <w:rPr>
          <w:rFonts w:hint="eastAsia" w:hAnsi="宋体" w:cs="宋体"/>
          <w:szCs w:val="24"/>
        </w:rPr>
        <w:t>项目咨询：</w:t>
      </w:r>
      <w:r>
        <w:rPr>
          <w:rFonts w:hint="eastAsia" w:ascii="仿宋" w:hAnsi="仿宋" w:eastAsia="仿宋" w:cs="仿宋"/>
        </w:rPr>
        <w:t>黄</w:t>
      </w:r>
      <w:r>
        <w:rPr>
          <w:rFonts w:hint="eastAsia" w:ascii="仿宋" w:hAnsi="仿宋" w:eastAsia="仿宋" w:cs="仿宋"/>
          <w:lang w:val="zh-CN"/>
        </w:rPr>
        <w:t>女士</w:t>
      </w:r>
    </w:p>
    <w:p w14:paraId="483957FB">
      <w:pPr>
        <w:spacing w:after="50" w:line="360" w:lineRule="auto"/>
        <w:ind w:firstLine="480" w:firstLineChars="200"/>
        <w:rPr>
          <w:rFonts w:ascii="仿宋" w:hAnsi="仿宋" w:eastAsia="仿宋" w:cs="仿宋"/>
          <w:lang w:val="zh-CN"/>
        </w:rPr>
      </w:pPr>
      <w:r>
        <w:rPr>
          <w:rFonts w:hint="eastAsia" w:hAnsi="宋体" w:cs="宋体"/>
          <w:szCs w:val="24"/>
        </w:rPr>
        <w:t>标书发售：</w:t>
      </w:r>
      <w:r>
        <w:rPr>
          <w:rFonts w:hint="eastAsia" w:ascii="仿宋" w:hAnsi="仿宋" w:eastAsia="仿宋" w:cs="仿宋"/>
        </w:rPr>
        <w:t>黄</w:t>
      </w:r>
      <w:r>
        <w:rPr>
          <w:rFonts w:hint="eastAsia" w:ascii="仿宋" w:hAnsi="仿宋" w:eastAsia="仿宋" w:cs="仿宋"/>
          <w:lang w:val="zh-CN"/>
        </w:rPr>
        <w:t>女士</w:t>
      </w:r>
    </w:p>
    <w:p w14:paraId="6554FE33">
      <w:pPr>
        <w:spacing w:after="50" w:line="360" w:lineRule="auto"/>
        <w:ind w:firstLine="480" w:firstLineChars="200"/>
        <w:rPr>
          <w:rFonts w:hAnsi="宋体" w:cs="宋体"/>
          <w:szCs w:val="24"/>
        </w:rPr>
      </w:pPr>
      <w:r>
        <w:rPr>
          <w:rFonts w:hint="eastAsia" w:hAnsi="宋体" w:cs="宋体"/>
          <w:szCs w:val="24"/>
        </w:rPr>
        <w:t>联系电话：17309012029；</w:t>
      </w:r>
      <w:r>
        <w:rPr>
          <w:rFonts w:hint="eastAsia" w:hAnsi="宋体" w:cs="宋体"/>
          <w:szCs w:val="24"/>
          <w:lang w:val="zh-CN"/>
        </w:rPr>
        <w:t>0816-3513386</w:t>
      </w:r>
    </w:p>
    <w:p w14:paraId="6F8260A0">
      <w:pPr>
        <w:spacing w:after="50" w:line="360" w:lineRule="auto"/>
        <w:ind w:firstLine="480" w:firstLineChars="200"/>
        <w:rPr>
          <w:rFonts w:hAnsi="宋体" w:cs="宋体"/>
          <w:szCs w:val="24"/>
        </w:rPr>
      </w:pPr>
    </w:p>
    <w:p w14:paraId="4B416CE1">
      <w:pPr>
        <w:spacing w:line="360" w:lineRule="auto"/>
        <w:rPr>
          <w:rFonts w:hAnsi="宋体" w:cs="宋体"/>
          <w:szCs w:val="24"/>
        </w:rPr>
      </w:pPr>
    </w:p>
    <w:p w14:paraId="51495651">
      <w:pPr>
        <w:widowControl/>
        <w:jc w:val="left"/>
        <w:rPr>
          <w:rFonts w:hAnsi="宋体" w:cs="宋体"/>
          <w:b/>
          <w:sz w:val="28"/>
          <w:szCs w:val="28"/>
        </w:rPr>
      </w:pPr>
      <w:bookmarkStart w:id="60" w:name="_Toc138167915"/>
      <w:bookmarkStart w:id="61" w:name="_Toc138167966"/>
      <w:r>
        <w:rPr>
          <w:rFonts w:hAnsi="宋体" w:cs="宋体"/>
          <w:sz w:val="28"/>
          <w:szCs w:val="28"/>
        </w:rPr>
        <w:br w:type="page"/>
      </w:r>
    </w:p>
    <w:p w14:paraId="47F34914">
      <w:pPr>
        <w:pStyle w:val="34"/>
        <w:spacing w:line="360" w:lineRule="auto"/>
        <w:rPr>
          <w:rFonts w:ascii="宋体" w:hAnsi="宋体" w:eastAsia="宋体" w:cs="宋体"/>
          <w:sz w:val="32"/>
          <w:szCs w:val="32"/>
        </w:rPr>
      </w:pPr>
      <w:bookmarkStart w:id="62" w:name="_Toc170477073"/>
      <w:bookmarkStart w:id="63" w:name="_Toc6293"/>
      <w:r>
        <w:rPr>
          <w:rFonts w:hint="eastAsia" w:ascii="宋体" w:hAnsi="宋体" w:eastAsia="宋体" w:cs="宋体"/>
          <w:sz w:val="32"/>
          <w:szCs w:val="32"/>
        </w:rPr>
        <w:t>第二章  供应商须知</w:t>
      </w:r>
      <w:bookmarkEnd w:id="60"/>
      <w:bookmarkEnd w:id="61"/>
      <w:bookmarkEnd w:id="62"/>
      <w:bookmarkEnd w:id="63"/>
    </w:p>
    <w:p w14:paraId="66692462">
      <w:pPr>
        <w:pStyle w:val="3"/>
        <w:spacing w:line="360" w:lineRule="auto"/>
        <w:rPr>
          <w:rFonts w:hAnsi="宋体" w:cs="宋体"/>
          <w:szCs w:val="24"/>
        </w:rPr>
      </w:pPr>
      <w:bookmarkStart w:id="64" w:name="_Toc189727030"/>
      <w:bookmarkStart w:id="65" w:name="_Toc213396946"/>
      <w:bookmarkStart w:id="66" w:name="_Toc5635"/>
      <w:bookmarkStart w:id="67" w:name="_Toc138167967"/>
      <w:bookmarkStart w:id="68" w:name="_Toc213397010"/>
      <w:bookmarkStart w:id="69" w:name="_Toc213496268"/>
      <w:bookmarkStart w:id="70" w:name="_Toc217446032"/>
      <w:bookmarkStart w:id="71" w:name="_Toc170477074"/>
      <w:bookmarkStart w:id="72" w:name="_Toc213396760"/>
      <w:bookmarkStart w:id="73" w:name="_Toc138167916"/>
      <w:bookmarkStart w:id="74" w:name="_Toc15493"/>
      <w:r>
        <w:rPr>
          <w:rFonts w:hint="eastAsia" w:ascii="宋体" w:hAnsi="宋体" w:eastAsia="宋体" w:cs="宋体"/>
          <w:sz w:val="24"/>
          <w:szCs w:val="24"/>
        </w:rPr>
        <w:t>一、供应商须知前附表</w:t>
      </w:r>
      <w:bookmarkEnd w:id="64"/>
      <w:bookmarkEnd w:id="65"/>
      <w:bookmarkEnd w:id="66"/>
      <w:bookmarkEnd w:id="67"/>
      <w:bookmarkEnd w:id="68"/>
      <w:bookmarkEnd w:id="69"/>
      <w:bookmarkEnd w:id="70"/>
      <w:bookmarkEnd w:id="71"/>
      <w:bookmarkEnd w:id="72"/>
      <w:bookmarkEnd w:id="73"/>
      <w:bookmarkEnd w:id="74"/>
    </w:p>
    <w:tbl>
      <w:tblPr>
        <w:tblStyle w:val="24"/>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4"/>
        <w:gridCol w:w="1985"/>
        <w:gridCol w:w="7067"/>
      </w:tblGrid>
      <w:tr w14:paraId="6ACC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vAlign w:val="center"/>
          </w:tcPr>
          <w:p w14:paraId="3AFD595D">
            <w:pPr>
              <w:pStyle w:val="36"/>
              <w:spacing w:line="360" w:lineRule="auto"/>
              <w:ind w:left="9"/>
              <w:jc w:val="center"/>
              <w:rPr>
                <w:rFonts w:hAnsi="宋体" w:cs="宋体"/>
                <w:szCs w:val="24"/>
              </w:rPr>
            </w:pPr>
            <w:r>
              <w:rPr>
                <w:rFonts w:hint="eastAsia" w:hAnsi="宋体" w:cs="宋体"/>
                <w:szCs w:val="24"/>
              </w:rPr>
              <w:t>序号</w:t>
            </w:r>
          </w:p>
        </w:tc>
        <w:tc>
          <w:tcPr>
            <w:tcW w:w="1985" w:type="dxa"/>
            <w:vAlign w:val="center"/>
          </w:tcPr>
          <w:p w14:paraId="44B625E0">
            <w:pPr>
              <w:pStyle w:val="36"/>
              <w:spacing w:line="360" w:lineRule="auto"/>
              <w:ind w:left="38"/>
              <w:jc w:val="center"/>
              <w:rPr>
                <w:rFonts w:hAnsi="宋体" w:cs="宋体"/>
                <w:szCs w:val="24"/>
              </w:rPr>
            </w:pPr>
            <w:r>
              <w:rPr>
                <w:rFonts w:hint="eastAsia" w:hAnsi="宋体" w:cs="宋体"/>
                <w:szCs w:val="24"/>
              </w:rPr>
              <w:t>条款名称</w:t>
            </w:r>
          </w:p>
        </w:tc>
        <w:tc>
          <w:tcPr>
            <w:tcW w:w="7067" w:type="dxa"/>
            <w:vAlign w:val="center"/>
          </w:tcPr>
          <w:p w14:paraId="7D0A1A75">
            <w:pPr>
              <w:pStyle w:val="36"/>
              <w:spacing w:line="360" w:lineRule="auto"/>
              <w:jc w:val="center"/>
              <w:rPr>
                <w:rFonts w:hAnsi="宋体" w:cs="宋体"/>
                <w:szCs w:val="24"/>
              </w:rPr>
            </w:pPr>
            <w:r>
              <w:rPr>
                <w:rFonts w:hint="eastAsia" w:hAnsi="宋体" w:cs="宋体"/>
                <w:szCs w:val="24"/>
              </w:rPr>
              <w:t>说明和要求</w:t>
            </w:r>
          </w:p>
        </w:tc>
      </w:tr>
      <w:tr w14:paraId="3699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704" w:type="dxa"/>
            <w:vAlign w:val="center"/>
          </w:tcPr>
          <w:p w14:paraId="61C22762">
            <w:pPr>
              <w:pStyle w:val="36"/>
              <w:spacing w:line="360" w:lineRule="auto"/>
              <w:ind w:left="9"/>
              <w:jc w:val="center"/>
              <w:rPr>
                <w:rFonts w:hAnsi="宋体" w:cs="宋体"/>
                <w:szCs w:val="24"/>
              </w:rPr>
            </w:pPr>
            <w:r>
              <w:rPr>
                <w:rFonts w:hint="eastAsia" w:hAnsi="宋体" w:cs="宋体"/>
                <w:szCs w:val="24"/>
              </w:rPr>
              <w:t>1</w:t>
            </w:r>
          </w:p>
        </w:tc>
        <w:tc>
          <w:tcPr>
            <w:tcW w:w="1985" w:type="dxa"/>
            <w:vAlign w:val="center"/>
          </w:tcPr>
          <w:p w14:paraId="72022A15">
            <w:pPr>
              <w:pStyle w:val="36"/>
              <w:spacing w:line="360" w:lineRule="auto"/>
              <w:ind w:left="38"/>
              <w:jc w:val="center"/>
              <w:rPr>
                <w:rFonts w:hAnsi="宋体" w:cs="宋体"/>
                <w:szCs w:val="24"/>
              </w:rPr>
            </w:pPr>
            <w:r>
              <w:rPr>
                <w:rFonts w:hint="eastAsia" w:hAnsi="宋体" w:cs="宋体"/>
                <w:szCs w:val="24"/>
              </w:rPr>
              <w:t>采购最高限价</w:t>
            </w:r>
          </w:p>
          <w:p w14:paraId="2555066C">
            <w:pPr>
              <w:pStyle w:val="36"/>
              <w:spacing w:line="360" w:lineRule="auto"/>
              <w:ind w:left="38"/>
              <w:jc w:val="center"/>
              <w:rPr>
                <w:rFonts w:hAnsi="宋体" w:cs="宋体"/>
                <w:szCs w:val="24"/>
              </w:rPr>
            </w:pPr>
            <w:r>
              <w:rPr>
                <w:rFonts w:hint="eastAsia" w:hAnsi="宋体" w:cs="宋体"/>
                <w:szCs w:val="24"/>
              </w:rPr>
              <w:t>（实质性要求）</w:t>
            </w:r>
          </w:p>
        </w:tc>
        <w:tc>
          <w:tcPr>
            <w:tcW w:w="7067" w:type="dxa"/>
            <w:vAlign w:val="center"/>
          </w:tcPr>
          <w:p w14:paraId="4B386A54">
            <w:pPr>
              <w:spacing w:line="360" w:lineRule="auto"/>
              <w:ind w:firstLine="470" w:firstLineChars="196"/>
              <w:rPr>
                <w:rFonts w:hAnsi="宋体" w:cs="宋体"/>
                <w:kern w:val="2"/>
                <w:szCs w:val="24"/>
              </w:rPr>
            </w:pPr>
            <w:r>
              <w:rPr>
                <w:rFonts w:hint="eastAsia" w:hAnsi="宋体" w:cs="宋体"/>
                <w:kern w:val="2"/>
                <w:szCs w:val="24"/>
              </w:rPr>
              <w:t xml:space="preserve">最高限价：946914.01元 </w:t>
            </w:r>
          </w:p>
          <w:p w14:paraId="7F37DF10">
            <w:pPr>
              <w:spacing w:line="360" w:lineRule="auto"/>
              <w:ind w:right="36" w:rightChars="15" w:firstLine="480" w:firstLineChars="200"/>
              <w:rPr>
                <w:rFonts w:hAnsi="宋体" w:cs="宋体"/>
                <w:kern w:val="2"/>
                <w:szCs w:val="24"/>
              </w:rPr>
            </w:pPr>
            <w:r>
              <w:rPr>
                <w:rFonts w:hint="eastAsia" w:hAnsi="宋体" w:cs="宋体"/>
                <w:kern w:val="2"/>
                <w:szCs w:val="24"/>
              </w:rPr>
              <w:t>注：总价报价超过最高限价的报价无效。</w:t>
            </w:r>
          </w:p>
        </w:tc>
      </w:tr>
      <w:bookmarkEnd w:id="0"/>
      <w:tr w14:paraId="040F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704" w:type="dxa"/>
            <w:vAlign w:val="center"/>
          </w:tcPr>
          <w:p w14:paraId="23D11333">
            <w:pPr>
              <w:pStyle w:val="36"/>
              <w:spacing w:line="360" w:lineRule="auto"/>
              <w:ind w:left="9"/>
              <w:jc w:val="center"/>
              <w:rPr>
                <w:rFonts w:hAnsi="宋体" w:cs="宋体"/>
                <w:szCs w:val="24"/>
              </w:rPr>
            </w:pPr>
            <w:r>
              <w:rPr>
                <w:rFonts w:hint="eastAsia" w:hAnsi="宋体" w:cs="宋体"/>
                <w:szCs w:val="24"/>
              </w:rPr>
              <w:t>2</w:t>
            </w:r>
          </w:p>
        </w:tc>
        <w:tc>
          <w:tcPr>
            <w:tcW w:w="1985" w:type="dxa"/>
            <w:vAlign w:val="center"/>
          </w:tcPr>
          <w:p w14:paraId="16D0C439">
            <w:pPr>
              <w:pStyle w:val="36"/>
              <w:spacing w:line="360" w:lineRule="auto"/>
              <w:ind w:left="9"/>
              <w:jc w:val="center"/>
              <w:rPr>
                <w:rFonts w:hAnsi="宋体" w:cs="宋体"/>
                <w:szCs w:val="24"/>
              </w:rPr>
            </w:pPr>
            <w:r>
              <w:rPr>
                <w:rFonts w:hint="eastAsia" w:hAnsi="宋体" w:cs="宋体"/>
                <w:szCs w:val="24"/>
              </w:rPr>
              <w:t>低于成本价不正当竞争预防措施</w:t>
            </w:r>
          </w:p>
          <w:p w14:paraId="38B28C17">
            <w:pPr>
              <w:pStyle w:val="36"/>
              <w:spacing w:line="360" w:lineRule="auto"/>
              <w:ind w:left="9"/>
              <w:jc w:val="center"/>
              <w:rPr>
                <w:rFonts w:hAnsi="宋体" w:cs="宋体"/>
                <w:szCs w:val="24"/>
              </w:rPr>
            </w:pPr>
            <w:r>
              <w:rPr>
                <w:rFonts w:hint="eastAsia" w:hAnsi="宋体" w:cs="宋体"/>
                <w:szCs w:val="24"/>
              </w:rPr>
              <w:t>（实质性要求）</w:t>
            </w:r>
          </w:p>
        </w:tc>
        <w:tc>
          <w:tcPr>
            <w:tcW w:w="7067" w:type="dxa"/>
            <w:vAlign w:val="center"/>
          </w:tcPr>
          <w:p w14:paraId="0463F6EF">
            <w:pPr>
              <w:pStyle w:val="36"/>
              <w:spacing w:line="360" w:lineRule="auto"/>
              <w:ind w:left="9" w:firstLine="480" w:firstLineChars="200"/>
              <w:rPr>
                <w:rFonts w:hAnsi="宋体" w:cs="宋体"/>
                <w:kern w:val="2"/>
                <w:szCs w:val="24"/>
              </w:rPr>
            </w:pPr>
            <w:r>
              <w:rPr>
                <w:rFonts w:hint="eastAsia" w:hAnsi="宋体" w:cs="宋体"/>
                <w:kern w:val="2"/>
                <w:szCs w:val="24"/>
              </w:rPr>
              <w:t>1.在评审过程中，供应商报价明显低于采购预算的</w:t>
            </w:r>
            <w:r>
              <w:rPr>
                <w:rFonts w:hint="eastAsia" w:hAnsi="宋体" w:cs="宋体"/>
                <w:kern w:val="2"/>
                <w:szCs w:val="24"/>
                <w:u w:val="single"/>
              </w:rPr>
              <w:t>85</w:t>
            </w:r>
            <w:r>
              <w:rPr>
                <w:rFonts w:hint="eastAsia" w:hAnsi="宋体" w:cs="宋体"/>
                <w:kern w:val="2"/>
                <w:szCs w:val="24"/>
              </w:rPr>
              <w:t>%或者低于其他有效供应商报价算术平均价的</w:t>
            </w:r>
            <w:r>
              <w:rPr>
                <w:rFonts w:hint="eastAsia" w:hAnsi="宋体" w:cs="宋体"/>
                <w:kern w:val="2"/>
                <w:szCs w:val="24"/>
                <w:u w:val="single"/>
              </w:rPr>
              <w:t>90</w:t>
            </w:r>
            <w:r>
              <w:rPr>
                <w:rFonts w:hint="eastAsia" w:hAnsi="宋体" w:cs="宋体"/>
                <w:kern w:val="2"/>
                <w:szCs w:val="24"/>
              </w:rPr>
              <w:t>%，有可能影响服务质量或者不能诚信履约的，磋商小组应当要求其在磋商现场合理的时间内提供书面说明，并提交相关证明材料，供应商不能证明其报价合理性的，磋商小组应当将其作为无效处理。</w:t>
            </w:r>
          </w:p>
          <w:p w14:paraId="3A77F8B9">
            <w:pPr>
              <w:pStyle w:val="36"/>
              <w:spacing w:line="360" w:lineRule="auto"/>
              <w:ind w:left="9" w:firstLine="480" w:firstLineChars="200"/>
              <w:rPr>
                <w:rFonts w:hAnsi="宋体" w:cs="宋体"/>
                <w:kern w:val="2"/>
                <w:szCs w:val="24"/>
              </w:rPr>
            </w:pPr>
            <w:r>
              <w:rPr>
                <w:rFonts w:hint="eastAsia" w:hAnsi="宋体" w:cs="宋体"/>
                <w:kern w:val="2"/>
                <w:szCs w:val="24"/>
              </w:rPr>
              <w:t>2.供应商的书面说明材料应当按照国家财务会计制度的规定要求，逐项就供应商提供的服务的主营业务成本、税金及附加、销售费用、管理费用、财务费用等成本构成事项详细陈述。</w:t>
            </w:r>
          </w:p>
          <w:p w14:paraId="3708FE90">
            <w:pPr>
              <w:pStyle w:val="36"/>
              <w:spacing w:line="360" w:lineRule="auto"/>
              <w:ind w:left="9" w:firstLine="480" w:firstLineChars="200"/>
              <w:rPr>
                <w:rFonts w:hAnsi="宋体" w:cs="宋体"/>
                <w:kern w:val="2"/>
                <w:szCs w:val="24"/>
              </w:rPr>
            </w:pPr>
            <w:r>
              <w:rPr>
                <w:rFonts w:hint="eastAsia" w:hAnsi="宋体" w:cs="宋体"/>
                <w:kern w:val="2"/>
                <w:szCs w:val="24"/>
              </w:rPr>
              <w:t>3.供应商书面说明应当签字确认或者加盖公章，否则无效。书面说明的签字确认，由其法定代表人或者其授权代表签字确认。</w:t>
            </w:r>
          </w:p>
          <w:p w14:paraId="20BD944C">
            <w:pPr>
              <w:pStyle w:val="36"/>
              <w:spacing w:line="360" w:lineRule="auto"/>
              <w:ind w:left="9" w:firstLine="480" w:firstLineChars="200"/>
              <w:rPr>
                <w:rFonts w:hAnsi="宋体" w:cs="宋体"/>
                <w:szCs w:val="24"/>
              </w:rPr>
            </w:pPr>
            <w:r>
              <w:rPr>
                <w:rFonts w:hint="eastAsia" w:hAnsi="宋体" w:cs="宋体"/>
                <w:kern w:val="2"/>
                <w:szCs w:val="24"/>
              </w:rPr>
              <w:t>4.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14:paraId="16BD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704" w:type="dxa"/>
            <w:vAlign w:val="center"/>
          </w:tcPr>
          <w:p w14:paraId="438F8504">
            <w:pPr>
              <w:pStyle w:val="36"/>
              <w:spacing w:line="360" w:lineRule="auto"/>
              <w:ind w:left="9"/>
              <w:jc w:val="center"/>
              <w:rPr>
                <w:rFonts w:hAnsi="宋体" w:cs="宋体"/>
                <w:szCs w:val="24"/>
              </w:rPr>
            </w:pPr>
            <w:r>
              <w:rPr>
                <w:rFonts w:hint="eastAsia" w:hAnsi="宋体" w:cs="宋体"/>
                <w:szCs w:val="24"/>
              </w:rPr>
              <w:t>3</w:t>
            </w:r>
          </w:p>
        </w:tc>
        <w:tc>
          <w:tcPr>
            <w:tcW w:w="1985" w:type="dxa"/>
            <w:vAlign w:val="center"/>
          </w:tcPr>
          <w:p w14:paraId="4C6596F1">
            <w:pPr>
              <w:pStyle w:val="36"/>
              <w:spacing w:line="360" w:lineRule="auto"/>
              <w:ind w:left="38"/>
              <w:jc w:val="center"/>
              <w:rPr>
                <w:rFonts w:hAnsi="宋体" w:cs="宋体"/>
                <w:szCs w:val="24"/>
              </w:rPr>
            </w:pPr>
            <w:r>
              <w:rPr>
                <w:rFonts w:hint="eastAsia" w:hAnsi="宋体" w:cs="宋体"/>
                <w:szCs w:val="24"/>
              </w:rPr>
              <w:t>验收方法及标准</w:t>
            </w:r>
          </w:p>
        </w:tc>
        <w:tc>
          <w:tcPr>
            <w:tcW w:w="7067" w:type="dxa"/>
            <w:vAlign w:val="center"/>
          </w:tcPr>
          <w:p w14:paraId="7FE0534F">
            <w:pPr>
              <w:spacing w:line="360" w:lineRule="auto"/>
              <w:ind w:right="36" w:rightChars="15" w:firstLine="480" w:firstLineChars="200"/>
              <w:rPr>
                <w:rFonts w:hAnsi="宋体" w:cs="宋体"/>
                <w:szCs w:val="24"/>
              </w:rPr>
            </w:pPr>
            <w:r>
              <w:rPr>
                <w:rFonts w:hint="eastAsia" w:hAnsi="宋体" w:cs="宋体"/>
                <w:kern w:val="2"/>
                <w:szCs w:val="24"/>
              </w:rPr>
              <w:t>按照本项目采购文件、采购合同相关规定组织验收。</w:t>
            </w:r>
          </w:p>
        </w:tc>
      </w:tr>
      <w:tr w14:paraId="16B8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704" w:type="dxa"/>
            <w:vAlign w:val="center"/>
          </w:tcPr>
          <w:p w14:paraId="31F7A222">
            <w:pPr>
              <w:pStyle w:val="36"/>
              <w:spacing w:line="360" w:lineRule="auto"/>
              <w:ind w:left="9"/>
              <w:jc w:val="center"/>
              <w:rPr>
                <w:rFonts w:hAnsi="宋体" w:cs="宋体"/>
                <w:szCs w:val="24"/>
              </w:rPr>
            </w:pPr>
            <w:r>
              <w:rPr>
                <w:rFonts w:hint="eastAsia" w:hAnsi="宋体" w:cs="宋体"/>
                <w:szCs w:val="24"/>
              </w:rPr>
              <w:t>4</w:t>
            </w:r>
          </w:p>
        </w:tc>
        <w:tc>
          <w:tcPr>
            <w:tcW w:w="1985" w:type="dxa"/>
            <w:vAlign w:val="center"/>
          </w:tcPr>
          <w:p w14:paraId="29F66287">
            <w:pPr>
              <w:pStyle w:val="36"/>
              <w:spacing w:line="360" w:lineRule="auto"/>
              <w:ind w:left="38"/>
              <w:jc w:val="center"/>
              <w:rPr>
                <w:rFonts w:hAnsi="宋体" w:cs="宋体"/>
                <w:szCs w:val="24"/>
              </w:rPr>
            </w:pPr>
            <w:r>
              <w:rPr>
                <w:rFonts w:hint="eastAsia" w:hAnsi="宋体" w:cs="宋体"/>
                <w:szCs w:val="24"/>
              </w:rPr>
              <w:t>评审方法</w:t>
            </w:r>
          </w:p>
        </w:tc>
        <w:tc>
          <w:tcPr>
            <w:tcW w:w="7067" w:type="dxa"/>
            <w:vAlign w:val="center"/>
          </w:tcPr>
          <w:p w14:paraId="768D5440">
            <w:pPr>
              <w:spacing w:line="360" w:lineRule="auto"/>
              <w:ind w:right="36" w:rightChars="15" w:firstLine="480" w:firstLineChars="200"/>
              <w:rPr>
                <w:rFonts w:hAnsi="宋体" w:cs="宋体"/>
                <w:szCs w:val="24"/>
              </w:rPr>
            </w:pPr>
            <w:r>
              <w:rPr>
                <w:rFonts w:hint="eastAsia" w:hAnsi="宋体" w:cs="宋体"/>
                <w:szCs w:val="24"/>
              </w:rPr>
              <w:t>综合评分法</w:t>
            </w:r>
          </w:p>
        </w:tc>
      </w:tr>
      <w:tr w14:paraId="51EC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704" w:type="dxa"/>
            <w:vAlign w:val="center"/>
          </w:tcPr>
          <w:p w14:paraId="236C4F60">
            <w:pPr>
              <w:pStyle w:val="36"/>
              <w:spacing w:line="360" w:lineRule="auto"/>
              <w:ind w:left="9"/>
              <w:jc w:val="center"/>
              <w:rPr>
                <w:rFonts w:hAnsi="宋体" w:cs="宋体"/>
                <w:szCs w:val="24"/>
              </w:rPr>
            </w:pPr>
            <w:r>
              <w:rPr>
                <w:rFonts w:hint="eastAsia" w:hAnsi="宋体" w:cs="宋体"/>
                <w:szCs w:val="24"/>
              </w:rPr>
              <w:t>5</w:t>
            </w:r>
          </w:p>
        </w:tc>
        <w:tc>
          <w:tcPr>
            <w:tcW w:w="1985" w:type="dxa"/>
            <w:vAlign w:val="center"/>
          </w:tcPr>
          <w:p w14:paraId="1BE41CE5">
            <w:pPr>
              <w:pStyle w:val="36"/>
              <w:spacing w:line="360" w:lineRule="auto"/>
              <w:ind w:left="38"/>
              <w:jc w:val="center"/>
              <w:rPr>
                <w:rFonts w:hAnsi="宋体" w:cs="宋体"/>
                <w:szCs w:val="24"/>
              </w:rPr>
            </w:pPr>
            <w:r>
              <w:rPr>
                <w:rFonts w:hint="eastAsia" w:hAnsi="宋体" w:cs="宋体"/>
                <w:szCs w:val="24"/>
              </w:rPr>
              <w:t>成交结果公告</w:t>
            </w:r>
          </w:p>
        </w:tc>
        <w:tc>
          <w:tcPr>
            <w:tcW w:w="7067" w:type="dxa"/>
            <w:vAlign w:val="center"/>
          </w:tcPr>
          <w:p w14:paraId="2CDA82C0">
            <w:pPr>
              <w:spacing w:line="360" w:lineRule="auto"/>
              <w:ind w:right="36" w:rightChars="15" w:firstLine="480" w:firstLineChars="200"/>
              <w:rPr>
                <w:rFonts w:hAnsi="宋体" w:cs="宋体"/>
                <w:szCs w:val="24"/>
              </w:rPr>
            </w:pPr>
            <w:r>
              <w:rPr>
                <w:rFonts w:hint="eastAsia" w:hAnsi="宋体" w:cs="宋体"/>
                <w:szCs w:val="24"/>
              </w:rPr>
              <w:t>成交结果公告将在本项目指定相关网站上予以公告。</w:t>
            </w:r>
          </w:p>
        </w:tc>
      </w:tr>
      <w:tr w14:paraId="1262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704" w:type="dxa"/>
            <w:vAlign w:val="center"/>
          </w:tcPr>
          <w:p w14:paraId="7C940E0B">
            <w:pPr>
              <w:pStyle w:val="36"/>
              <w:spacing w:line="360" w:lineRule="auto"/>
              <w:ind w:left="9"/>
              <w:jc w:val="center"/>
              <w:rPr>
                <w:rFonts w:hAnsi="宋体" w:cs="宋体"/>
                <w:szCs w:val="24"/>
              </w:rPr>
            </w:pPr>
            <w:r>
              <w:rPr>
                <w:rFonts w:hint="eastAsia" w:hAnsi="宋体" w:cs="宋体"/>
                <w:szCs w:val="24"/>
              </w:rPr>
              <w:t>6</w:t>
            </w:r>
          </w:p>
        </w:tc>
        <w:tc>
          <w:tcPr>
            <w:tcW w:w="1985" w:type="dxa"/>
            <w:vAlign w:val="center"/>
          </w:tcPr>
          <w:p w14:paraId="7B61FB22">
            <w:pPr>
              <w:pStyle w:val="36"/>
              <w:spacing w:line="360" w:lineRule="auto"/>
              <w:ind w:left="38"/>
              <w:jc w:val="center"/>
              <w:rPr>
                <w:rFonts w:hAnsi="宋体" w:cs="宋体"/>
                <w:szCs w:val="24"/>
              </w:rPr>
            </w:pPr>
            <w:r>
              <w:rPr>
                <w:rFonts w:hint="eastAsia" w:hAnsi="宋体" w:cs="宋体"/>
                <w:szCs w:val="24"/>
              </w:rPr>
              <w:t>答疑会和现场踏勘</w:t>
            </w:r>
          </w:p>
        </w:tc>
        <w:tc>
          <w:tcPr>
            <w:tcW w:w="7067" w:type="dxa"/>
            <w:vAlign w:val="center"/>
          </w:tcPr>
          <w:p w14:paraId="076B331E">
            <w:pPr>
              <w:spacing w:line="360" w:lineRule="auto"/>
              <w:ind w:right="36" w:rightChars="15" w:firstLine="480" w:firstLineChars="200"/>
              <w:rPr>
                <w:rFonts w:hAnsi="宋体" w:cs="宋体"/>
                <w:szCs w:val="24"/>
              </w:rPr>
            </w:pPr>
            <w:r>
              <w:rPr>
                <w:rFonts w:hint="eastAsia" w:hAnsi="宋体" w:cs="宋体"/>
                <w:szCs w:val="24"/>
              </w:rPr>
              <w:t>本项目不组织</w:t>
            </w:r>
          </w:p>
        </w:tc>
      </w:tr>
      <w:tr w14:paraId="6BAB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704" w:type="dxa"/>
            <w:vAlign w:val="center"/>
          </w:tcPr>
          <w:p w14:paraId="40AB5980">
            <w:pPr>
              <w:pStyle w:val="36"/>
              <w:spacing w:line="360" w:lineRule="auto"/>
              <w:ind w:left="9"/>
              <w:jc w:val="center"/>
              <w:rPr>
                <w:rFonts w:hAnsi="宋体" w:cs="宋体"/>
                <w:szCs w:val="24"/>
              </w:rPr>
            </w:pPr>
            <w:r>
              <w:rPr>
                <w:rFonts w:hint="eastAsia" w:hAnsi="宋体" w:cs="宋体"/>
                <w:szCs w:val="24"/>
              </w:rPr>
              <w:t>7</w:t>
            </w:r>
          </w:p>
        </w:tc>
        <w:tc>
          <w:tcPr>
            <w:tcW w:w="1985" w:type="dxa"/>
            <w:vAlign w:val="center"/>
          </w:tcPr>
          <w:p w14:paraId="403F7C33">
            <w:pPr>
              <w:pStyle w:val="36"/>
              <w:spacing w:line="360" w:lineRule="auto"/>
              <w:ind w:left="38"/>
              <w:jc w:val="center"/>
              <w:rPr>
                <w:rFonts w:hAnsi="宋体" w:cs="宋体"/>
                <w:szCs w:val="24"/>
              </w:rPr>
            </w:pPr>
            <w:r>
              <w:rPr>
                <w:rFonts w:hint="eastAsia" w:hAnsi="宋体" w:cs="宋体"/>
                <w:szCs w:val="24"/>
              </w:rPr>
              <w:t>是否接受联合体</w:t>
            </w:r>
          </w:p>
          <w:p w14:paraId="72ABEF04">
            <w:pPr>
              <w:pStyle w:val="36"/>
              <w:spacing w:line="360" w:lineRule="auto"/>
              <w:jc w:val="center"/>
              <w:rPr>
                <w:rFonts w:hAnsi="宋体" w:cs="宋体"/>
                <w:szCs w:val="24"/>
              </w:rPr>
            </w:pPr>
            <w:r>
              <w:rPr>
                <w:rFonts w:hint="eastAsia" w:hAnsi="宋体" w:cs="宋体"/>
                <w:szCs w:val="24"/>
              </w:rPr>
              <w:t>磋商（实质性要求）</w:t>
            </w:r>
          </w:p>
        </w:tc>
        <w:tc>
          <w:tcPr>
            <w:tcW w:w="7067" w:type="dxa"/>
            <w:vAlign w:val="center"/>
          </w:tcPr>
          <w:p w14:paraId="73222BA7">
            <w:pPr>
              <w:spacing w:line="360" w:lineRule="auto"/>
              <w:ind w:right="36" w:rightChars="15" w:firstLine="480" w:firstLineChars="200"/>
              <w:rPr>
                <w:rFonts w:hAnsi="宋体" w:cs="宋体"/>
                <w:szCs w:val="24"/>
              </w:rPr>
            </w:pPr>
            <w:r>
              <w:rPr>
                <w:rFonts w:hint="eastAsia" w:hAnsi="宋体" w:cs="宋体"/>
                <w:szCs w:val="24"/>
              </w:rPr>
              <w:t>不接受。</w:t>
            </w:r>
          </w:p>
        </w:tc>
      </w:tr>
      <w:tr w14:paraId="6490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704" w:type="dxa"/>
            <w:vAlign w:val="center"/>
          </w:tcPr>
          <w:p w14:paraId="6893D5F3">
            <w:pPr>
              <w:pStyle w:val="36"/>
              <w:spacing w:line="360" w:lineRule="auto"/>
              <w:ind w:left="9"/>
              <w:jc w:val="center"/>
              <w:rPr>
                <w:rFonts w:hAnsi="宋体" w:cs="宋体"/>
                <w:kern w:val="2"/>
                <w:szCs w:val="24"/>
              </w:rPr>
            </w:pPr>
            <w:r>
              <w:rPr>
                <w:rFonts w:hint="eastAsia" w:hAnsi="宋体" w:cs="宋体"/>
                <w:kern w:val="2"/>
                <w:szCs w:val="24"/>
              </w:rPr>
              <w:t>8</w:t>
            </w:r>
          </w:p>
        </w:tc>
        <w:tc>
          <w:tcPr>
            <w:tcW w:w="1985" w:type="dxa"/>
            <w:tcBorders>
              <w:top w:val="single" w:color="auto" w:sz="4" w:space="0"/>
              <w:bottom w:val="single" w:color="auto" w:sz="4" w:space="0"/>
            </w:tcBorders>
            <w:vAlign w:val="center"/>
          </w:tcPr>
          <w:p w14:paraId="6699EA91">
            <w:pPr>
              <w:pStyle w:val="36"/>
              <w:spacing w:line="360" w:lineRule="auto"/>
              <w:jc w:val="center"/>
              <w:rPr>
                <w:kern w:val="2"/>
              </w:rPr>
            </w:pPr>
            <w:r>
              <w:rPr>
                <w:rFonts w:hint="eastAsia"/>
                <w:kern w:val="2"/>
                <w:lang w:val="zh-CN"/>
              </w:rPr>
              <w:t>合同分包、</w:t>
            </w:r>
            <w:r>
              <w:rPr>
                <w:rFonts w:hint="eastAsia"/>
                <w:kern w:val="2"/>
              </w:rPr>
              <w:t>转包</w:t>
            </w:r>
          </w:p>
          <w:p w14:paraId="56348C5A">
            <w:pPr>
              <w:pStyle w:val="36"/>
              <w:spacing w:line="360" w:lineRule="auto"/>
              <w:jc w:val="center"/>
              <w:rPr>
                <w:kern w:val="2"/>
              </w:rPr>
            </w:pPr>
            <w:r>
              <w:rPr>
                <w:rFonts w:hint="eastAsia"/>
                <w:kern w:val="2"/>
              </w:rPr>
              <w:t>（实质性要求）</w:t>
            </w:r>
          </w:p>
        </w:tc>
        <w:tc>
          <w:tcPr>
            <w:tcW w:w="7067" w:type="dxa"/>
            <w:tcBorders>
              <w:top w:val="single" w:color="auto" w:sz="4" w:space="0"/>
              <w:bottom w:val="single" w:color="auto" w:sz="4" w:space="0"/>
            </w:tcBorders>
            <w:vAlign w:val="center"/>
          </w:tcPr>
          <w:p w14:paraId="0677BA66">
            <w:pPr>
              <w:pStyle w:val="36"/>
              <w:spacing w:line="360" w:lineRule="auto"/>
              <w:ind w:left="120" w:leftChars="50" w:right="120" w:rightChars="50" w:firstLine="360" w:firstLineChars="150"/>
              <w:rPr>
                <w:kern w:val="2"/>
              </w:rPr>
            </w:pPr>
            <w:r>
              <w:rPr>
                <w:rFonts w:hint="eastAsia"/>
                <w:kern w:val="2"/>
              </w:rPr>
              <w:t>不允许。</w:t>
            </w:r>
          </w:p>
        </w:tc>
      </w:tr>
      <w:tr w14:paraId="0EAC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704" w:type="dxa"/>
            <w:vAlign w:val="center"/>
          </w:tcPr>
          <w:p w14:paraId="0ACED364">
            <w:pPr>
              <w:pStyle w:val="36"/>
              <w:spacing w:line="360" w:lineRule="auto"/>
              <w:ind w:left="9"/>
              <w:jc w:val="center"/>
              <w:rPr>
                <w:rFonts w:hAnsi="宋体" w:cs="宋体"/>
                <w:szCs w:val="24"/>
              </w:rPr>
            </w:pPr>
            <w:r>
              <w:rPr>
                <w:rFonts w:hint="eastAsia" w:hAnsi="宋体" w:cs="宋体"/>
                <w:szCs w:val="24"/>
              </w:rPr>
              <w:t>9</w:t>
            </w:r>
          </w:p>
        </w:tc>
        <w:tc>
          <w:tcPr>
            <w:tcW w:w="1985" w:type="dxa"/>
            <w:vAlign w:val="center"/>
          </w:tcPr>
          <w:p w14:paraId="029485B3">
            <w:pPr>
              <w:pStyle w:val="36"/>
              <w:spacing w:line="360" w:lineRule="auto"/>
              <w:jc w:val="center"/>
              <w:rPr>
                <w:rFonts w:hAnsi="宋体" w:cs="宋体"/>
                <w:szCs w:val="24"/>
              </w:rPr>
            </w:pPr>
            <w:r>
              <w:rPr>
                <w:rFonts w:hint="eastAsia" w:hAnsi="宋体" w:cs="宋体"/>
                <w:szCs w:val="24"/>
                <w:lang w:val="zh-CN"/>
              </w:rPr>
              <w:t>磋商保证金</w:t>
            </w:r>
          </w:p>
        </w:tc>
        <w:tc>
          <w:tcPr>
            <w:tcW w:w="7067" w:type="dxa"/>
            <w:vAlign w:val="center"/>
          </w:tcPr>
          <w:p w14:paraId="2B068D12">
            <w:pPr>
              <w:pStyle w:val="36"/>
              <w:spacing w:line="360" w:lineRule="auto"/>
              <w:ind w:left="9" w:firstLine="480" w:firstLineChars="200"/>
              <w:rPr>
                <w:rFonts w:hAnsi="宋体" w:cs="宋体"/>
                <w:szCs w:val="24"/>
              </w:rPr>
            </w:pPr>
            <w:r>
              <w:rPr>
                <w:rFonts w:hint="eastAsia" w:hAnsi="宋体" w:cs="宋体"/>
                <w:szCs w:val="24"/>
              </w:rPr>
              <w:t>本项目不收取磋商保证金。</w:t>
            </w:r>
          </w:p>
        </w:tc>
      </w:tr>
      <w:tr w14:paraId="3547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704" w:type="dxa"/>
            <w:vAlign w:val="center"/>
          </w:tcPr>
          <w:p w14:paraId="3B78B51F">
            <w:pPr>
              <w:pStyle w:val="36"/>
              <w:spacing w:line="360" w:lineRule="auto"/>
              <w:ind w:left="9"/>
              <w:jc w:val="center"/>
              <w:rPr>
                <w:rFonts w:hAnsi="宋体" w:cs="宋体"/>
                <w:szCs w:val="24"/>
              </w:rPr>
            </w:pPr>
            <w:r>
              <w:rPr>
                <w:rFonts w:hAnsi="宋体" w:cs="宋体"/>
                <w:szCs w:val="24"/>
              </w:rPr>
              <w:t>1</w:t>
            </w:r>
            <w:r>
              <w:rPr>
                <w:rFonts w:hint="eastAsia" w:hAnsi="宋体" w:cs="宋体"/>
                <w:szCs w:val="24"/>
              </w:rPr>
              <w:t>0</w:t>
            </w:r>
          </w:p>
        </w:tc>
        <w:tc>
          <w:tcPr>
            <w:tcW w:w="1985" w:type="dxa"/>
            <w:vAlign w:val="center"/>
          </w:tcPr>
          <w:p w14:paraId="31D2B9FF">
            <w:pPr>
              <w:widowControl/>
              <w:spacing w:line="360" w:lineRule="auto"/>
              <w:jc w:val="center"/>
              <w:rPr>
                <w:rFonts w:hAnsi="宋体" w:cs="宋体"/>
              </w:rPr>
            </w:pPr>
            <w:r>
              <w:rPr>
                <w:rFonts w:hint="eastAsia" w:hAnsi="宋体" w:cs="宋体"/>
              </w:rPr>
              <w:t>供应商对竞争性磋商文件提出质疑的时间</w:t>
            </w:r>
          </w:p>
        </w:tc>
        <w:tc>
          <w:tcPr>
            <w:tcW w:w="7067" w:type="dxa"/>
            <w:vAlign w:val="center"/>
          </w:tcPr>
          <w:p w14:paraId="3A8E7FE4">
            <w:pPr>
              <w:widowControl/>
              <w:spacing w:line="360" w:lineRule="auto"/>
              <w:ind w:firstLine="480" w:firstLineChars="200"/>
              <w:jc w:val="left"/>
              <w:rPr>
                <w:rFonts w:hAnsi="宋体" w:cs="宋体"/>
              </w:rPr>
            </w:pPr>
            <w:r>
              <w:rPr>
                <w:rFonts w:hint="eastAsia" w:hAnsi="宋体" w:cs="宋体"/>
              </w:rPr>
              <w:t>自竞争性磋商文件获取时间起七个工作日内。</w:t>
            </w:r>
          </w:p>
        </w:tc>
      </w:tr>
      <w:tr w14:paraId="6D6A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704" w:type="dxa"/>
            <w:vAlign w:val="center"/>
          </w:tcPr>
          <w:p w14:paraId="43E19B31">
            <w:pPr>
              <w:pStyle w:val="36"/>
              <w:spacing w:line="360" w:lineRule="auto"/>
              <w:ind w:left="9"/>
              <w:jc w:val="center"/>
              <w:rPr>
                <w:rFonts w:hAnsi="宋体" w:cs="宋体"/>
                <w:szCs w:val="24"/>
              </w:rPr>
            </w:pPr>
            <w:r>
              <w:rPr>
                <w:rFonts w:hAnsi="宋体" w:cs="宋体"/>
                <w:szCs w:val="24"/>
              </w:rPr>
              <w:t>1</w:t>
            </w:r>
            <w:r>
              <w:rPr>
                <w:rFonts w:hint="eastAsia" w:hAnsi="宋体" w:cs="宋体"/>
                <w:szCs w:val="24"/>
              </w:rPr>
              <w:t>1</w:t>
            </w:r>
          </w:p>
        </w:tc>
        <w:tc>
          <w:tcPr>
            <w:tcW w:w="1985" w:type="dxa"/>
            <w:vAlign w:val="center"/>
          </w:tcPr>
          <w:p w14:paraId="47995AB8">
            <w:pPr>
              <w:widowControl/>
              <w:spacing w:line="360" w:lineRule="auto"/>
              <w:jc w:val="center"/>
              <w:rPr>
                <w:rFonts w:hAnsi="宋体" w:cs="宋体"/>
              </w:rPr>
            </w:pPr>
            <w:r>
              <w:rPr>
                <w:rFonts w:hint="eastAsia" w:hAnsi="宋体" w:cs="宋体"/>
              </w:rPr>
              <w:t>构成竞争性磋商文件的其他文件</w:t>
            </w:r>
          </w:p>
        </w:tc>
        <w:tc>
          <w:tcPr>
            <w:tcW w:w="7067" w:type="dxa"/>
            <w:vAlign w:val="center"/>
          </w:tcPr>
          <w:p w14:paraId="11D522B2">
            <w:pPr>
              <w:widowControl/>
              <w:spacing w:line="360" w:lineRule="auto"/>
              <w:ind w:firstLine="480" w:firstLineChars="200"/>
              <w:jc w:val="left"/>
              <w:rPr>
                <w:rFonts w:hAnsi="宋体" w:cs="宋体"/>
              </w:rPr>
            </w:pPr>
            <w:r>
              <w:rPr>
                <w:rFonts w:hint="eastAsia" w:hAnsi="宋体" w:cs="宋体"/>
              </w:rPr>
              <w:t>竞争性磋商文件的澄清、修改书及有关补充通知为竞争性磋商文件的有效组成部分。</w:t>
            </w:r>
          </w:p>
        </w:tc>
      </w:tr>
      <w:tr w14:paraId="0749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704" w:type="dxa"/>
            <w:vAlign w:val="center"/>
          </w:tcPr>
          <w:p w14:paraId="2F707A7F">
            <w:pPr>
              <w:pStyle w:val="36"/>
              <w:spacing w:line="360" w:lineRule="auto"/>
              <w:ind w:left="9"/>
              <w:jc w:val="center"/>
              <w:rPr>
                <w:rFonts w:hAnsi="宋体" w:cs="宋体"/>
                <w:szCs w:val="24"/>
              </w:rPr>
            </w:pPr>
            <w:r>
              <w:rPr>
                <w:rFonts w:hint="eastAsia" w:hAnsi="宋体" w:cs="宋体"/>
                <w:szCs w:val="24"/>
              </w:rPr>
              <w:t>12</w:t>
            </w:r>
          </w:p>
        </w:tc>
        <w:tc>
          <w:tcPr>
            <w:tcW w:w="1985" w:type="dxa"/>
            <w:vAlign w:val="center"/>
          </w:tcPr>
          <w:p w14:paraId="53F482AD">
            <w:pPr>
              <w:pStyle w:val="36"/>
              <w:spacing w:line="360" w:lineRule="auto"/>
              <w:ind w:left="9"/>
              <w:jc w:val="center"/>
              <w:rPr>
                <w:rFonts w:hAnsi="宋体" w:cs="宋体"/>
                <w:szCs w:val="24"/>
              </w:rPr>
            </w:pPr>
            <w:r>
              <w:rPr>
                <w:rFonts w:hint="eastAsia" w:hAnsi="宋体" w:cs="宋体"/>
                <w:szCs w:val="24"/>
              </w:rPr>
              <w:t>供应商询问、质疑、投诉</w:t>
            </w:r>
          </w:p>
        </w:tc>
        <w:tc>
          <w:tcPr>
            <w:tcW w:w="7067" w:type="dxa"/>
            <w:vAlign w:val="center"/>
          </w:tcPr>
          <w:p w14:paraId="7ED86CB1">
            <w:pPr>
              <w:pStyle w:val="36"/>
              <w:spacing w:line="360" w:lineRule="auto"/>
              <w:ind w:left="9" w:firstLine="480" w:firstLineChars="200"/>
              <w:rPr>
                <w:rFonts w:hAnsi="宋体" w:cs="宋体"/>
                <w:szCs w:val="24"/>
              </w:rPr>
            </w:pPr>
            <w:r>
              <w:rPr>
                <w:rFonts w:hint="eastAsia" w:hAnsi="宋体" w:cs="宋体"/>
                <w:szCs w:val="24"/>
              </w:rPr>
              <w:t>1.供应商对招标文件中供应商参加本次采购活动应当具备的条件和招标项目技术、商务及其他要求，以及评标细则、标准提出询问或质疑的，应向采购人、采购代理机构提出；</w:t>
            </w:r>
          </w:p>
          <w:p w14:paraId="3C00090B">
            <w:pPr>
              <w:pStyle w:val="36"/>
              <w:spacing w:line="360" w:lineRule="auto"/>
              <w:ind w:left="9" w:firstLine="480" w:firstLineChars="200"/>
              <w:rPr>
                <w:rFonts w:hAnsi="宋体" w:cs="宋体"/>
                <w:szCs w:val="24"/>
              </w:rPr>
            </w:pPr>
            <w:r>
              <w:rPr>
                <w:rFonts w:hint="eastAsia" w:hAnsi="宋体" w:cs="宋体"/>
                <w:szCs w:val="24"/>
              </w:rPr>
              <w:t>2.供应商对除上述招标文件中的其他内容、采购过程及中标结果提出询问或质疑的，应向采购人、采购代理机构提出。</w:t>
            </w:r>
          </w:p>
          <w:p w14:paraId="37F96A9E">
            <w:pPr>
              <w:pStyle w:val="36"/>
              <w:spacing w:line="360" w:lineRule="auto"/>
              <w:ind w:firstLine="480" w:firstLineChars="200"/>
              <w:rPr>
                <w:rFonts w:hAnsi="宋体" w:cs="宋体"/>
                <w:szCs w:val="24"/>
                <w:lang w:val="zh-CN"/>
              </w:rPr>
            </w:pPr>
            <w:r>
              <w:rPr>
                <w:rFonts w:hint="eastAsia" w:hAnsi="宋体" w:cs="宋体"/>
                <w:szCs w:val="24"/>
                <w:lang w:val="zh-CN"/>
              </w:rPr>
              <w:t>联系人：</w:t>
            </w:r>
            <w:r>
              <w:rPr>
                <w:rFonts w:hint="eastAsia" w:hAnsi="宋体" w:cs="宋体"/>
                <w:szCs w:val="24"/>
              </w:rPr>
              <w:t>黄</w:t>
            </w:r>
            <w:r>
              <w:rPr>
                <w:rFonts w:hint="eastAsia" w:hAnsi="宋体" w:cs="宋体"/>
                <w:szCs w:val="24"/>
                <w:lang w:val="zh-CN"/>
              </w:rPr>
              <w:t>女士。</w:t>
            </w:r>
          </w:p>
          <w:p w14:paraId="148BF74B">
            <w:pPr>
              <w:pStyle w:val="36"/>
              <w:spacing w:line="360" w:lineRule="auto"/>
              <w:ind w:left="9" w:firstLine="480" w:firstLineChars="200"/>
              <w:rPr>
                <w:rFonts w:hAnsi="宋体" w:cs="宋体"/>
                <w:szCs w:val="24"/>
                <w:lang w:val="zh-CN"/>
              </w:rPr>
            </w:pPr>
            <w:r>
              <w:rPr>
                <w:rFonts w:hint="eastAsia" w:hAnsi="宋体" w:cs="宋体"/>
                <w:szCs w:val="24"/>
                <w:lang w:val="zh-CN"/>
              </w:rPr>
              <w:t>联系电话：17309012029；0816-3513386。</w:t>
            </w:r>
          </w:p>
          <w:p w14:paraId="34892B5D">
            <w:pPr>
              <w:pStyle w:val="36"/>
              <w:spacing w:line="360" w:lineRule="auto"/>
              <w:ind w:left="9" w:firstLine="480" w:firstLineChars="200"/>
              <w:rPr>
                <w:rFonts w:hAnsi="宋体" w:cs="宋体"/>
                <w:szCs w:val="24"/>
              </w:rPr>
            </w:pPr>
            <w:r>
              <w:rPr>
                <w:rFonts w:hAnsi="宋体" w:cs="宋体"/>
                <w:szCs w:val="24"/>
              </w:rPr>
              <w:t>注：供应商询问不得超出磋商文件、磋商过程、磋商结果的范围，询问时应一次性提出全部询问事项，并附询问函</w:t>
            </w:r>
            <w:r>
              <w:rPr>
                <w:rFonts w:hint="eastAsia" w:hAnsi="宋体" w:cs="宋体"/>
                <w:szCs w:val="24"/>
              </w:rPr>
              <w:t>W</w:t>
            </w:r>
            <w:r>
              <w:rPr>
                <w:rFonts w:hAnsi="宋体" w:cs="宋体"/>
                <w:szCs w:val="24"/>
              </w:rPr>
              <w:t>ORD电子文档</w:t>
            </w:r>
            <w:r>
              <w:rPr>
                <w:rFonts w:hint="eastAsia" w:hAnsi="宋体" w:cs="宋体"/>
                <w:szCs w:val="24"/>
              </w:rPr>
              <w:t>U盘。</w:t>
            </w:r>
          </w:p>
        </w:tc>
      </w:tr>
      <w:tr w14:paraId="3F63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704" w:type="dxa"/>
            <w:vAlign w:val="center"/>
          </w:tcPr>
          <w:p w14:paraId="014F8636">
            <w:pPr>
              <w:pStyle w:val="36"/>
              <w:spacing w:line="360" w:lineRule="auto"/>
              <w:ind w:left="9"/>
              <w:jc w:val="center"/>
              <w:rPr>
                <w:rFonts w:hAnsi="宋体" w:cs="宋体"/>
                <w:szCs w:val="24"/>
              </w:rPr>
            </w:pPr>
            <w:r>
              <w:rPr>
                <w:rFonts w:hint="eastAsia" w:hAnsi="宋体" w:cs="宋体"/>
                <w:szCs w:val="24"/>
              </w:rPr>
              <w:t>13</w:t>
            </w:r>
          </w:p>
        </w:tc>
        <w:tc>
          <w:tcPr>
            <w:tcW w:w="1985" w:type="dxa"/>
            <w:vAlign w:val="center"/>
          </w:tcPr>
          <w:p w14:paraId="15B57C87">
            <w:pPr>
              <w:pStyle w:val="36"/>
              <w:spacing w:line="360" w:lineRule="auto"/>
              <w:ind w:left="9"/>
              <w:jc w:val="center"/>
              <w:rPr>
                <w:rFonts w:hAnsi="宋体" w:cs="宋体"/>
                <w:color w:val="FF0000"/>
                <w:szCs w:val="24"/>
              </w:rPr>
            </w:pPr>
            <w:r>
              <w:rPr>
                <w:rFonts w:hint="eastAsia" w:hAnsi="宋体" w:cs="宋体"/>
                <w:szCs w:val="24"/>
              </w:rPr>
              <w:t>履约保证金</w:t>
            </w:r>
          </w:p>
        </w:tc>
        <w:tc>
          <w:tcPr>
            <w:tcW w:w="7067" w:type="dxa"/>
            <w:vAlign w:val="center"/>
          </w:tcPr>
          <w:p w14:paraId="4041003B">
            <w:pPr>
              <w:pStyle w:val="36"/>
              <w:spacing w:line="360" w:lineRule="auto"/>
              <w:ind w:firstLine="480" w:firstLineChars="200"/>
              <w:rPr>
                <w:rFonts w:hAnsi="宋体" w:cs="宋体"/>
                <w:color w:val="FF0000"/>
                <w:szCs w:val="24"/>
              </w:rPr>
            </w:pPr>
            <w:r>
              <w:rPr>
                <w:rFonts w:hint="eastAsia" w:hAnsi="宋体" w:cs="宋体"/>
                <w:szCs w:val="24"/>
              </w:rPr>
              <w:t>不收取。</w:t>
            </w:r>
          </w:p>
        </w:tc>
      </w:tr>
      <w:tr w14:paraId="3F47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704" w:type="dxa"/>
            <w:vAlign w:val="center"/>
          </w:tcPr>
          <w:p w14:paraId="67C02546">
            <w:pPr>
              <w:pStyle w:val="36"/>
              <w:spacing w:line="360" w:lineRule="auto"/>
              <w:ind w:left="9"/>
              <w:jc w:val="center"/>
              <w:rPr>
                <w:rFonts w:hAnsi="宋体" w:cs="宋体"/>
                <w:szCs w:val="24"/>
              </w:rPr>
            </w:pPr>
            <w:r>
              <w:rPr>
                <w:rFonts w:hint="eastAsia" w:hAnsi="宋体" w:cs="宋体"/>
                <w:szCs w:val="24"/>
              </w:rPr>
              <w:t>14</w:t>
            </w:r>
          </w:p>
        </w:tc>
        <w:tc>
          <w:tcPr>
            <w:tcW w:w="1985" w:type="dxa"/>
            <w:vAlign w:val="center"/>
          </w:tcPr>
          <w:p w14:paraId="210B6CFC">
            <w:pPr>
              <w:pStyle w:val="36"/>
              <w:spacing w:line="360" w:lineRule="auto"/>
              <w:jc w:val="center"/>
              <w:rPr>
                <w:rFonts w:hAnsi="宋体" w:cs="宋体"/>
                <w:szCs w:val="24"/>
                <w:lang w:val="zh-CN"/>
              </w:rPr>
            </w:pPr>
            <w:r>
              <w:rPr>
                <w:rFonts w:hAnsi="宋体" w:cs="宋体"/>
                <w:szCs w:val="24"/>
                <w:lang w:val="zh-CN"/>
              </w:rPr>
              <w:t>成交通知书领取</w:t>
            </w:r>
          </w:p>
        </w:tc>
        <w:tc>
          <w:tcPr>
            <w:tcW w:w="7067" w:type="dxa"/>
            <w:vAlign w:val="center"/>
          </w:tcPr>
          <w:p w14:paraId="14E98433">
            <w:pPr>
              <w:pStyle w:val="36"/>
              <w:spacing w:line="360" w:lineRule="auto"/>
              <w:ind w:firstLine="480" w:firstLineChars="200"/>
              <w:rPr>
                <w:rFonts w:hAnsi="宋体" w:cs="宋体"/>
                <w:szCs w:val="24"/>
              </w:rPr>
            </w:pPr>
            <w:r>
              <w:rPr>
                <w:rFonts w:hint="eastAsia" w:hAnsi="宋体" w:cs="宋体"/>
                <w:szCs w:val="24"/>
              </w:rPr>
              <w:t>请成交供应商凭有效身份证明证件到</w:t>
            </w:r>
            <w:r>
              <w:rPr>
                <w:rFonts w:hint="eastAsia" w:hAnsi="宋体" w:cs="宋体"/>
                <w:szCs w:val="24"/>
                <w:lang w:val="zh-CN"/>
              </w:rPr>
              <w:t>四川正达建安工程项目管理有限公司</w:t>
            </w:r>
            <w:r>
              <w:rPr>
                <w:rFonts w:hint="eastAsia" w:hAnsi="宋体" w:cs="宋体"/>
                <w:szCs w:val="24"/>
              </w:rPr>
              <w:t>领取成交通知书。</w:t>
            </w:r>
          </w:p>
          <w:p w14:paraId="6595DABD">
            <w:pPr>
              <w:pStyle w:val="36"/>
              <w:spacing w:line="360" w:lineRule="auto"/>
              <w:ind w:firstLine="480" w:firstLineChars="200"/>
              <w:rPr>
                <w:rFonts w:hAnsi="宋体" w:cs="宋体"/>
                <w:szCs w:val="24"/>
                <w:lang w:val="zh-CN"/>
              </w:rPr>
            </w:pPr>
            <w:r>
              <w:rPr>
                <w:rFonts w:hint="eastAsia" w:hAnsi="宋体" w:cs="宋体"/>
                <w:szCs w:val="24"/>
                <w:lang w:val="zh-CN"/>
              </w:rPr>
              <w:t>联系人：</w:t>
            </w:r>
            <w:r>
              <w:rPr>
                <w:rFonts w:hint="eastAsia" w:hAnsi="宋体" w:cs="宋体"/>
                <w:szCs w:val="24"/>
              </w:rPr>
              <w:t>黄</w:t>
            </w:r>
            <w:r>
              <w:rPr>
                <w:rFonts w:hint="eastAsia" w:hAnsi="宋体" w:cs="宋体"/>
                <w:szCs w:val="24"/>
                <w:lang w:val="zh-CN"/>
              </w:rPr>
              <w:t>女士。</w:t>
            </w:r>
          </w:p>
          <w:p w14:paraId="06F18FB0">
            <w:pPr>
              <w:pStyle w:val="36"/>
              <w:spacing w:line="360" w:lineRule="auto"/>
              <w:ind w:firstLine="480" w:firstLineChars="200"/>
              <w:rPr>
                <w:rFonts w:hAnsi="宋体" w:cs="宋体"/>
                <w:szCs w:val="24"/>
                <w:lang w:val="zh-CN"/>
              </w:rPr>
            </w:pPr>
            <w:r>
              <w:rPr>
                <w:rFonts w:hint="eastAsia" w:hAnsi="宋体" w:cs="宋体"/>
                <w:szCs w:val="24"/>
                <w:lang w:val="zh-CN"/>
              </w:rPr>
              <w:t>联系电话：17309012029；0816-3513386。</w:t>
            </w:r>
          </w:p>
        </w:tc>
      </w:tr>
      <w:tr w14:paraId="5963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704" w:type="dxa"/>
            <w:vAlign w:val="center"/>
          </w:tcPr>
          <w:p w14:paraId="0F3288C6">
            <w:pPr>
              <w:pStyle w:val="36"/>
              <w:spacing w:line="360" w:lineRule="auto"/>
              <w:ind w:left="9"/>
              <w:jc w:val="center"/>
              <w:rPr>
                <w:rFonts w:hAnsi="宋体" w:cs="宋体"/>
                <w:szCs w:val="24"/>
              </w:rPr>
            </w:pPr>
            <w:r>
              <w:rPr>
                <w:rFonts w:hint="eastAsia" w:hAnsi="宋体" w:cs="宋体"/>
                <w:szCs w:val="24"/>
              </w:rPr>
              <w:t>1</w:t>
            </w:r>
            <w:r>
              <w:rPr>
                <w:rFonts w:hAnsi="宋体" w:cs="宋体"/>
                <w:szCs w:val="24"/>
              </w:rPr>
              <w:t>6</w:t>
            </w:r>
          </w:p>
        </w:tc>
        <w:tc>
          <w:tcPr>
            <w:tcW w:w="1985" w:type="dxa"/>
            <w:tcBorders>
              <w:top w:val="single" w:color="auto" w:sz="4" w:space="0"/>
              <w:bottom w:val="single" w:color="auto" w:sz="4" w:space="0"/>
            </w:tcBorders>
            <w:vAlign w:val="center"/>
          </w:tcPr>
          <w:p w14:paraId="5741F04A">
            <w:pPr>
              <w:pStyle w:val="36"/>
              <w:spacing w:line="360" w:lineRule="auto"/>
              <w:jc w:val="center"/>
              <w:rPr>
                <w:kern w:val="2"/>
              </w:rPr>
            </w:pPr>
            <w:r>
              <w:rPr>
                <w:rFonts w:hint="eastAsia"/>
                <w:kern w:val="2"/>
              </w:rPr>
              <w:t>供应商投诉</w:t>
            </w:r>
          </w:p>
        </w:tc>
        <w:tc>
          <w:tcPr>
            <w:tcW w:w="7067" w:type="dxa"/>
            <w:tcBorders>
              <w:top w:val="single" w:color="auto" w:sz="4" w:space="0"/>
              <w:bottom w:val="single" w:color="auto" w:sz="4" w:space="0"/>
            </w:tcBorders>
            <w:vAlign w:val="center"/>
          </w:tcPr>
          <w:p w14:paraId="3AEDAC8D">
            <w:pPr>
              <w:pStyle w:val="36"/>
              <w:spacing w:line="360" w:lineRule="auto"/>
              <w:ind w:firstLine="480" w:firstLineChars="200"/>
              <w:rPr>
                <w:kern w:val="2"/>
              </w:rPr>
            </w:pPr>
            <w:r>
              <w:rPr>
                <w:rFonts w:hint="eastAsia"/>
                <w:kern w:val="2"/>
              </w:rPr>
              <w:t>采购人相关监督部门。</w:t>
            </w:r>
          </w:p>
          <w:p w14:paraId="4B134C5F">
            <w:pPr>
              <w:pStyle w:val="36"/>
              <w:spacing w:line="360" w:lineRule="auto"/>
              <w:ind w:firstLine="480" w:firstLineChars="200"/>
              <w:rPr>
                <w:kern w:val="2"/>
                <w:lang w:val="zh-CN"/>
              </w:rPr>
            </w:pPr>
            <w:r>
              <w:rPr>
                <w:rFonts w:hint="eastAsia"/>
                <w:kern w:val="2"/>
                <w:lang w:val="zh-CN"/>
              </w:rPr>
              <w:t>注：</w:t>
            </w:r>
            <w:r>
              <w:rPr>
                <w:rFonts w:hint="eastAsia"/>
                <w:kern w:val="2"/>
              </w:rPr>
              <w:t>参照</w:t>
            </w:r>
            <w:r>
              <w:rPr>
                <w:rFonts w:hint="eastAsia"/>
                <w:kern w:val="2"/>
                <w:lang w:val="zh-CN"/>
              </w:rPr>
              <w:t>《中华人民共和国政府采购法》及其他有关等规定，供应商投诉事项不得超出已质疑事项的范围。</w:t>
            </w:r>
          </w:p>
        </w:tc>
      </w:tr>
      <w:tr w14:paraId="3552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704" w:type="dxa"/>
            <w:vAlign w:val="center"/>
          </w:tcPr>
          <w:p w14:paraId="49E174B2">
            <w:pPr>
              <w:pStyle w:val="36"/>
              <w:ind w:right="230"/>
              <w:jc w:val="center"/>
              <w:rPr>
                <w:rFonts w:hAnsi="宋体" w:cs="宋体"/>
                <w:szCs w:val="24"/>
              </w:rPr>
            </w:pPr>
            <w:r>
              <w:rPr>
                <w:rFonts w:hint="eastAsia" w:hAnsi="宋体" w:cs="Courier New"/>
                <w:color w:val="000000"/>
              </w:rPr>
              <w:t xml:space="preserve"> 17</w:t>
            </w:r>
          </w:p>
        </w:tc>
        <w:tc>
          <w:tcPr>
            <w:tcW w:w="1985" w:type="dxa"/>
            <w:tcBorders>
              <w:top w:val="single" w:color="auto" w:sz="4" w:space="0"/>
            </w:tcBorders>
            <w:vAlign w:val="center"/>
          </w:tcPr>
          <w:p w14:paraId="1ADB002A">
            <w:pPr>
              <w:spacing w:line="360" w:lineRule="exact"/>
              <w:ind w:firstLine="240" w:firstLineChars="100"/>
              <w:jc w:val="left"/>
              <w:rPr>
                <w:rFonts w:cs="宋体"/>
                <w:b/>
                <w:color w:val="000000"/>
                <w:szCs w:val="21"/>
              </w:rPr>
            </w:pPr>
            <w:r>
              <w:rPr>
                <w:rFonts w:hint="eastAsia" w:hAnsi="宋体"/>
                <w:szCs w:val="21"/>
              </w:rPr>
              <w:t>采购代理费</w:t>
            </w:r>
          </w:p>
        </w:tc>
        <w:tc>
          <w:tcPr>
            <w:tcW w:w="7067" w:type="dxa"/>
            <w:tcBorders>
              <w:top w:val="single" w:color="auto" w:sz="4" w:space="0"/>
            </w:tcBorders>
            <w:vAlign w:val="center"/>
          </w:tcPr>
          <w:p w14:paraId="7D37DAC6">
            <w:pPr>
              <w:pStyle w:val="36"/>
              <w:spacing w:line="360" w:lineRule="auto"/>
              <w:ind w:firstLine="480" w:firstLineChars="200"/>
              <w:rPr>
                <w:rFonts w:hAnsi="宋体"/>
                <w:szCs w:val="21"/>
              </w:rPr>
            </w:pPr>
            <w:r>
              <w:rPr>
                <w:rFonts w:hint="eastAsia" w:hAnsi="宋体"/>
                <w:szCs w:val="21"/>
              </w:rPr>
              <w:t>采购代理费用由采购代理机构参照“计价格【2002】1980号”文件下浮20％向成交供应商收取，不足5000元按5000元收取，由成交供应商在领取成交通知书时一次性付清。</w:t>
            </w:r>
          </w:p>
          <w:p w14:paraId="2B56460F">
            <w:pPr>
              <w:pStyle w:val="36"/>
              <w:spacing w:line="360" w:lineRule="auto"/>
              <w:ind w:firstLine="480" w:firstLineChars="200"/>
              <w:rPr>
                <w:kern w:val="2"/>
                <w:lang w:val="zh-CN"/>
              </w:rPr>
            </w:pPr>
            <w:r>
              <w:rPr>
                <w:rFonts w:hint="eastAsia"/>
                <w:kern w:val="2"/>
                <w:lang w:val="zh-CN"/>
              </w:rPr>
              <w:t>收款单位：四川正达建安工程项目管理有限公司</w:t>
            </w:r>
          </w:p>
          <w:p w14:paraId="1A53B62E">
            <w:pPr>
              <w:pStyle w:val="36"/>
              <w:spacing w:line="360" w:lineRule="auto"/>
              <w:ind w:firstLine="480" w:firstLineChars="200"/>
              <w:rPr>
                <w:kern w:val="2"/>
                <w:lang w:val="zh-CN"/>
              </w:rPr>
            </w:pPr>
            <w:r>
              <w:rPr>
                <w:rFonts w:hint="eastAsia"/>
                <w:kern w:val="2"/>
                <w:lang w:val="zh-CN"/>
              </w:rPr>
              <w:t>开 户 行：绵阳商业银行恒丰支行</w:t>
            </w:r>
          </w:p>
          <w:p w14:paraId="518B0A9B">
            <w:pPr>
              <w:pStyle w:val="36"/>
              <w:spacing w:line="360" w:lineRule="auto"/>
              <w:ind w:firstLine="480" w:firstLineChars="200"/>
              <w:rPr>
                <w:rFonts w:cs="宋体"/>
                <w:b/>
                <w:color w:val="000000"/>
                <w:szCs w:val="21"/>
              </w:rPr>
            </w:pPr>
            <w:r>
              <w:rPr>
                <w:rFonts w:hint="eastAsia"/>
                <w:kern w:val="2"/>
                <w:lang w:val="zh-CN"/>
              </w:rPr>
              <w:t>账    号：14011500000300</w:t>
            </w:r>
          </w:p>
        </w:tc>
      </w:tr>
    </w:tbl>
    <w:p w14:paraId="20729612">
      <w:pPr>
        <w:pStyle w:val="8"/>
        <w:spacing w:line="360" w:lineRule="auto"/>
      </w:pPr>
      <w:bookmarkStart w:id="75" w:name="_Toc3238"/>
      <w:bookmarkStart w:id="76" w:name="_Toc8566"/>
      <w:bookmarkStart w:id="77" w:name="_Toc10883"/>
    </w:p>
    <w:p w14:paraId="4C63238D">
      <w:pPr>
        <w:pStyle w:val="3"/>
        <w:spacing w:line="360" w:lineRule="auto"/>
        <w:rPr>
          <w:rFonts w:ascii="宋体" w:hAnsi="宋体" w:eastAsia="宋体" w:cs="宋体"/>
          <w:sz w:val="24"/>
          <w:szCs w:val="24"/>
        </w:rPr>
      </w:pPr>
      <w:bookmarkStart w:id="78" w:name="_Toc11750"/>
      <w:bookmarkStart w:id="79" w:name="_Toc138167968"/>
      <w:bookmarkStart w:id="80" w:name="_Toc170477075"/>
      <w:bookmarkStart w:id="81" w:name="_Toc138167917"/>
      <w:r>
        <w:rPr>
          <w:rFonts w:hint="eastAsia" w:ascii="宋体" w:hAnsi="宋体" w:eastAsia="宋体" w:cs="宋体"/>
          <w:sz w:val="24"/>
          <w:szCs w:val="24"/>
        </w:rPr>
        <w:t>二、总则</w:t>
      </w:r>
      <w:bookmarkEnd w:id="75"/>
      <w:bookmarkEnd w:id="78"/>
      <w:bookmarkEnd w:id="79"/>
      <w:bookmarkEnd w:id="80"/>
      <w:bookmarkEnd w:id="81"/>
    </w:p>
    <w:p w14:paraId="45CFB1A0">
      <w:pPr>
        <w:spacing w:line="360" w:lineRule="auto"/>
        <w:ind w:firstLine="482" w:firstLineChars="200"/>
        <w:outlineLvl w:val="2"/>
        <w:rPr>
          <w:rFonts w:hAnsi="宋体" w:cs="宋体"/>
          <w:b/>
          <w:szCs w:val="24"/>
        </w:rPr>
      </w:pPr>
      <w:bookmarkStart w:id="82" w:name="_Toc183682342"/>
      <w:bookmarkStart w:id="83" w:name="_Toc183582205"/>
      <w:bookmarkStart w:id="84" w:name="_Toc11028"/>
      <w:bookmarkStart w:id="85" w:name="_Toc138167969"/>
      <w:bookmarkStart w:id="86" w:name="_Toc170477076"/>
      <w:bookmarkStart w:id="87" w:name="_Toc7978"/>
      <w:bookmarkStart w:id="88" w:name="_Toc167440825"/>
      <w:bookmarkStart w:id="89" w:name="_Toc217446034"/>
      <w:r>
        <w:rPr>
          <w:rFonts w:hint="eastAsia" w:hAnsi="宋体" w:cs="宋体"/>
          <w:b/>
          <w:szCs w:val="24"/>
        </w:rPr>
        <w:t>1</w:t>
      </w:r>
      <w:bookmarkEnd w:id="82"/>
      <w:bookmarkEnd w:id="83"/>
      <w:r>
        <w:rPr>
          <w:rFonts w:hint="eastAsia" w:hAnsi="宋体" w:cs="宋体"/>
          <w:b/>
          <w:szCs w:val="24"/>
        </w:rPr>
        <w:t>、适用范围</w:t>
      </w:r>
      <w:bookmarkEnd w:id="84"/>
      <w:bookmarkEnd w:id="85"/>
      <w:bookmarkEnd w:id="86"/>
      <w:bookmarkEnd w:id="87"/>
      <w:bookmarkEnd w:id="88"/>
      <w:bookmarkEnd w:id="89"/>
    </w:p>
    <w:p w14:paraId="3D0393FA">
      <w:pPr>
        <w:tabs>
          <w:tab w:val="left" w:pos="7665"/>
        </w:tabs>
        <w:spacing w:line="360" w:lineRule="auto"/>
        <w:ind w:firstLine="480" w:firstLineChars="200"/>
        <w:rPr>
          <w:rFonts w:hAnsi="宋体" w:cs="宋体"/>
          <w:szCs w:val="24"/>
        </w:rPr>
      </w:pPr>
      <w:r>
        <w:rPr>
          <w:rFonts w:hint="eastAsia" w:hAnsi="宋体" w:cs="宋体"/>
          <w:szCs w:val="24"/>
        </w:rPr>
        <w:t>本竞争性磋商文件仅适用于本次竞争性磋商采购项目。</w:t>
      </w:r>
    </w:p>
    <w:p w14:paraId="638394AC">
      <w:pPr>
        <w:spacing w:line="360" w:lineRule="auto"/>
        <w:ind w:firstLine="482" w:firstLineChars="200"/>
        <w:outlineLvl w:val="2"/>
        <w:rPr>
          <w:rFonts w:hAnsi="宋体" w:cs="宋体"/>
          <w:b/>
          <w:szCs w:val="24"/>
        </w:rPr>
      </w:pPr>
      <w:bookmarkStart w:id="90" w:name="_Toc183682343"/>
      <w:bookmarkStart w:id="91" w:name="_Toc183582206"/>
      <w:bookmarkStart w:id="92" w:name="_Toc9287"/>
      <w:bookmarkStart w:id="93" w:name="_Toc138167970"/>
      <w:bookmarkStart w:id="94" w:name="_Toc167440826"/>
      <w:bookmarkStart w:id="95" w:name="_Toc32408"/>
      <w:bookmarkStart w:id="96" w:name="_Toc170477077"/>
      <w:bookmarkStart w:id="97" w:name="_Toc217446035"/>
      <w:r>
        <w:rPr>
          <w:rFonts w:hint="eastAsia" w:hAnsi="宋体" w:cs="宋体"/>
          <w:b/>
          <w:szCs w:val="24"/>
        </w:rPr>
        <w:t>2</w:t>
      </w:r>
      <w:bookmarkEnd w:id="90"/>
      <w:bookmarkEnd w:id="91"/>
      <w:r>
        <w:rPr>
          <w:rFonts w:hint="eastAsia" w:hAnsi="宋体" w:cs="宋体"/>
          <w:b/>
          <w:szCs w:val="24"/>
        </w:rPr>
        <w:t>、有关定义</w:t>
      </w:r>
      <w:bookmarkEnd w:id="92"/>
      <w:bookmarkEnd w:id="93"/>
      <w:bookmarkEnd w:id="94"/>
      <w:bookmarkEnd w:id="95"/>
      <w:bookmarkEnd w:id="96"/>
      <w:bookmarkEnd w:id="97"/>
    </w:p>
    <w:p w14:paraId="383E39D7">
      <w:pPr>
        <w:tabs>
          <w:tab w:val="left" w:pos="7665"/>
        </w:tabs>
        <w:spacing w:line="360" w:lineRule="auto"/>
        <w:ind w:firstLine="480" w:firstLineChars="200"/>
        <w:rPr>
          <w:rFonts w:hAnsi="宋体" w:cs="宋体"/>
          <w:szCs w:val="24"/>
          <w:highlight w:val="yellow"/>
          <w:u w:val="single"/>
        </w:rPr>
      </w:pPr>
      <w:r>
        <w:rPr>
          <w:rFonts w:hint="eastAsia" w:hAnsi="宋体" w:cs="宋体"/>
          <w:szCs w:val="24"/>
        </w:rPr>
        <w:t>2.1 “采购人”系指依法进行采购的国家机关、企事业单位、团体组织。本次竞争性磋商的采购人是</w:t>
      </w:r>
      <w:r>
        <w:rPr>
          <w:rFonts w:hint="eastAsia" w:hAnsi="宋体" w:cs="宋体"/>
          <w:szCs w:val="24"/>
          <w:u w:val="single"/>
        </w:rPr>
        <w:t>绵阳仙海环鸿水务有限公司。</w:t>
      </w:r>
    </w:p>
    <w:p w14:paraId="430448A8">
      <w:pPr>
        <w:tabs>
          <w:tab w:val="left" w:pos="7665"/>
        </w:tabs>
        <w:spacing w:line="360" w:lineRule="auto"/>
        <w:ind w:firstLine="480" w:firstLineChars="200"/>
        <w:rPr>
          <w:rFonts w:hAnsi="宋体" w:cs="宋体"/>
          <w:szCs w:val="24"/>
        </w:rPr>
      </w:pPr>
      <w:r>
        <w:rPr>
          <w:rFonts w:hint="eastAsia" w:hAnsi="宋体" w:cs="宋体"/>
          <w:szCs w:val="24"/>
        </w:rPr>
        <w:t>2.2 “采购代理机构”系指根据采购人的委托依法办理磋商事宜的采购机构。本次磋商的采购代理机构是</w:t>
      </w:r>
      <w:r>
        <w:rPr>
          <w:rFonts w:hint="eastAsia" w:hAnsi="宋体" w:cs="宋体"/>
          <w:szCs w:val="24"/>
          <w:u w:val="single"/>
        </w:rPr>
        <w:t>四川正达建安工程项目管理有限公司</w:t>
      </w:r>
      <w:r>
        <w:rPr>
          <w:rFonts w:hint="eastAsia" w:hAnsi="宋体" w:cs="宋体"/>
          <w:szCs w:val="24"/>
        </w:rPr>
        <w:t>。</w:t>
      </w:r>
    </w:p>
    <w:p w14:paraId="2442C246">
      <w:pPr>
        <w:tabs>
          <w:tab w:val="left" w:pos="7665"/>
        </w:tabs>
        <w:spacing w:line="360" w:lineRule="auto"/>
        <w:ind w:firstLine="480" w:firstLineChars="200"/>
        <w:rPr>
          <w:rFonts w:hAnsi="宋体" w:cs="宋体"/>
          <w:szCs w:val="24"/>
        </w:rPr>
      </w:pPr>
      <w:r>
        <w:rPr>
          <w:rFonts w:hint="eastAsia" w:hAnsi="宋体" w:cs="宋体"/>
          <w:szCs w:val="24"/>
        </w:rPr>
        <w:t>2.3 “磋商采购单位”系指“采购人”和“采购代理机构”的统称。</w:t>
      </w:r>
    </w:p>
    <w:p w14:paraId="05A8F823">
      <w:pPr>
        <w:tabs>
          <w:tab w:val="left" w:pos="7665"/>
        </w:tabs>
        <w:spacing w:line="360" w:lineRule="auto"/>
        <w:ind w:firstLine="480" w:firstLineChars="200"/>
        <w:rPr>
          <w:rFonts w:hAnsi="宋体" w:cs="宋体"/>
          <w:szCs w:val="24"/>
        </w:rPr>
      </w:pPr>
      <w:r>
        <w:rPr>
          <w:rFonts w:hint="eastAsia" w:hAnsi="宋体" w:cs="宋体"/>
          <w:szCs w:val="24"/>
        </w:rPr>
        <w:t>2.4 “供应商”系指在采购代理机构进行报名并获取了竞争性磋商文件拟参加磋商和向采购人提供相应服务的法人、其他组织或者自然人。</w:t>
      </w:r>
    </w:p>
    <w:p w14:paraId="75F94117">
      <w:pPr>
        <w:tabs>
          <w:tab w:val="left" w:pos="7665"/>
        </w:tabs>
        <w:spacing w:line="360" w:lineRule="auto"/>
        <w:ind w:firstLine="480" w:firstLineChars="200"/>
        <w:rPr>
          <w:rFonts w:hAnsi="宋体" w:cs="宋体"/>
          <w:szCs w:val="24"/>
        </w:rPr>
      </w:pPr>
      <w:bookmarkStart w:id="98" w:name="_Toc217446036"/>
      <w:bookmarkStart w:id="99" w:name="_Toc183682344"/>
      <w:bookmarkStart w:id="100" w:name="_Toc217390843"/>
      <w:bookmarkStart w:id="101" w:name="_Toc183582207"/>
      <w:r>
        <w:rPr>
          <w:rFonts w:hint="eastAsia" w:hAnsi="宋体" w:cs="宋体"/>
          <w:szCs w:val="24"/>
        </w:rPr>
        <w:t>2.5 “磋商小组”系指为本项目依法组建并承担磋商工作的临时性评审组织。</w:t>
      </w:r>
    </w:p>
    <w:p w14:paraId="584D27F1">
      <w:pPr>
        <w:tabs>
          <w:tab w:val="left" w:pos="7665"/>
        </w:tabs>
        <w:spacing w:line="360" w:lineRule="auto"/>
        <w:ind w:firstLine="480" w:firstLineChars="200"/>
        <w:rPr>
          <w:rFonts w:hAnsi="宋体" w:cs="宋体"/>
          <w:szCs w:val="24"/>
        </w:rPr>
      </w:pPr>
      <w:r>
        <w:rPr>
          <w:rFonts w:hint="eastAsia" w:hAnsi="宋体" w:cs="宋体"/>
          <w:szCs w:val="24"/>
        </w:rPr>
        <w:t>2.6 “竞争性磋商”是指磋商小组与符合资格条件的供应商就本次磋商采购项目事宜进行磋商，供应商按照磋商文件的要求提交响应文件和最后报价，采购人从磋商小组提出的成交候选人中确定成交供应商的采购方式。</w:t>
      </w:r>
    </w:p>
    <w:p w14:paraId="55D47CC5">
      <w:pPr>
        <w:spacing w:line="360" w:lineRule="auto"/>
        <w:ind w:firstLine="482" w:firstLineChars="200"/>
        <w:outlineLvl w:val="2"/>
        <w:rPr>
          <w:rFonts w:hAnsi="宋体" w:cs="宋体"/>
          <w:b/>
          <w:szCs w:val="24"/>
        </w:rPr>
      </w:pPr>
      <w:bookmarkStart w:id="102" w:name="_Toc4157"/>
      <w:bookmarkStart w:id="103" w:name="_Toc170477078"/>
      <w:bookmarkStart w:id="104" w:name="_Toc167440827"/>
      <w:bookmarkStart w:id="105" w:name="_Toc138167971"/>
      <w:bookmarkStart w:id="106" w:name="_Toc16166"/>
      <w:r>
        <w:rPr>
          <w:rFonts w:hint="eastAsia" w:hAnsi="宋体" w:cs="宋体"/>
          <w:b/>
          <w:szCs w:val="24"/>
        </w:rPr>
        <w:t>3、合格的</w:t>
      </w:r>
      <w:bookmarkEnd w:id="98"/>
      <w:bookmarkEnd w:id="99"/>
      <w:bookmarkEnd w:id="100"/>
      <w:bookmarkEnd w:id="101"/>
      <w:r>
        <w:rPr>
          <w:rFonts w:hint="eastAsia" w:hAnsi="宋体" w:cs="宋体"/>
          <w:b/>
          <w:szCs w:val="24"/>
        </w:rPr>
        <w:t>供应商应具备以下条件：</w:t>
      </w:r>
      <w:bookmarkEnd w:id="102"/>
      <w:bookmarkEnd w:id="103"/>
      <w:bookmarkEnd w:id="104"/>
      <w:bookmarkEnd w:id="105"/>
      <w:bookmarkEnd w:id="106"/>
    </w:p>
    <w:p w14:paraId="510B63F1">
      <w:pPr>
        <w:tabs>
          <w:tab w:val="left" w:pos="7665"/>
        </w:tabs>
        <w:spacing w:line="360" w:lineRule="auto"/>
        <w:ind w:firstLine="480"/>
        <w:rPr>
          <w:rFonts w:hAnsi="宋体" w:cs="宋体"/>
          <w:szCs w:val="24"/>
        </w:rPr>
      </w:pPr>
      <w:r>
        <w:rPr>
          <w:rFonts w:hint="eastAsia" w:hAnsi="宋体" w:cs="宋体"/>
          <w:szCs w:val="24"/>
        </w:rPr>
        <w:t>（1）本竞争性磋商文件“磋商邀请”规定的条件；</w:t>
      </w:r>
    </w:p>
    <w:p w14:paraId="3200B21C">
      <w:pPr>
        <w:tabs>
          <w:tab w:val="left" w:pos="7665"/>
        </w:tabs>
        <w:spacing w:line="360" w:lineRule="auto"/>
        <w:ind w:firstLine="480"/>
        <w:rPr>
          <w:rFonts w:hAnsi="宋体" w:cs="宋体"/>
          <w:szCs w:val="24"/>
        </w:rPr>
      </w:pPr>
      <w:r>
        <w:rPr>
          <w:rFonts w:hint="eastAsia" w:hAnsi="宋体" w:cs="宋体"/>
          <w:szCs w:val="24"/>
        </w:rPr>
        <w:t>（2）遵守国家有关的法律、法规、规章和其他政策制度；</w:t>
      </w:r>
    </w:p>
    <w:p w14:paraId="3ABF550F">
      <w:pPr>
        <w:tabs>
          <w:tab w:val="left" w:pos="7665"/>
        </w:tabs>
        <w:spacing w:line="360" w:lineRule="auto"/>
        <w:ind w:firstLine="480"/>
        <w:rPr>
          <w:rFonts w:hAnsi="宋体" w:cs="宋体"/>
          <w:szCs w:val="24"/>
        </w:rPr>
      </w:pPr>
      <w:r>
        <w:rPr>
          <w:rFonts w:hint="eastAsia" w:hAnsi="宋体" w:cs="宋体"/>
          <w:szCs w:val="24"/>
        </w:rPr>
        <w:t>（3）在采购代理机构进行报名获取了竞争性磋商文件并按规定有效交纳了磋商保证金。</w:t>
      </w:r>
    </w:p>
    <w:p w14:paraId="6CCE036C">
      <w:pPr>
        <w:spacing w:line="360" w:lineRule="auto"/>
        <w:ind w:firstLine="482" w:firstLineChars="200"/>
        <w:outlineLvl w:val="2"/>
        <w:rPr>
          <w:rFonts w:hAnsi="宋体" w:cs="宋体"/>
          <w:b/>
          <w:szCs w:val="24"/>
        </w:rPr>
      </w:pPr>
      <w:bookmarkStart w:id="107" w:name="_Toc183582208"/>
      <w:bookmarkStart w:id="108" w:name="_Toc183682345"/>
      <w:bookmarkStart w:id="109" w:name="_Toc217446037"/>
      <w:bookmarkStart w:id="110" w:name="_Toc4373"/>
      <w:bookmarkStart w:id="111" w:name="_Toc167440828"/>
      <w:bookmarkStart w:id="112" w:name="_Toc28398"/>
      <w:bookmarkStart w:id="113" w:name="_Toc170477079"/>
      <w:bookmarkStart w:id="114" w:name="_Toc138167972"/>
      <w:r>
        <w:rPr>
          <w:rFonts w:hint="eastAsia" w:hAnsi="宋体" w:cs="宋体"/>
          <w:b/>
          <w:szCs w:val="24"/>
        </w:rPr>
        <w:t>4、</w:t>
      </w:r>
      <w:bookmarkEnd w:id="107"/>
      <w:bookmarkEnd w:id="108"/>
      <w:bookmarkEnd w:id="109"/>
      <w:r>
        <w:rPr>
          <w:rFonts w:hint="eastAsia" w:hAnsi="宋体" w:cs="宋体"/>
          <w:b/>
          <w:szCs w:val="24"/>
        </w:rPr>
        <w:t>磋商费用</w:t>
      </w:r>
      <w:bookmarkEnd w:id="110"/>
      <w:bookmarkEnd w:id="111"/>
      <w:bookmarkEnd w:id="112"/>
      <w:bookmarkEnd w:id="113"/>
      <w:bookmarkEnd w:id="114"/>
    </w:p>
    <w:p w14:paraId="6D527C4A">
      <w:pPr>
        <w:tabs>
          <w:tab w:val="left" w:pos="7665"/>
        </w:tabs>
        <w:spacing w:line="360" w:lineRule="auto"/>
        <w:ind w:firstLine="480"/>
        <w:rPr>
          <w:rFonts w:hAnsi="宋体" w:cs="宋体"/>
          <w:szCs w:val="24"/>
        </w:rPr>
      </w:pPr>
      <w:r>
        <w:rPr>
          <w:rFonts w:hint="eastAsia" w:hAnsi="宋体" w:cs="宋体"/>
          <w:szCs w:val="24"/>
        </w:rPr>
        <w:t>4.1 供应商参加磋商的有关费用由供应商自行承担。</w:t>
      </w:r>
    </w:p>
    <w:p w14:paraId="64411C97">
      <w:pPr>
        <w:pStyle w:val="36"/>
        <w:ind w:firstLine="480" w:firstLineChars="200"/>
        <w:rPr>
          <w:rFonts w:hAnsi="宋体" w:cs="宋体"/>
          <w:szCs w:val="24"/>
          <w:lang w:val="zh-CN"/>
        </w:rPr>
      </w:pPr>
      <w:r>
        <w:rPr>
          <w:rFonts w:hint="eastAsia" w:hAnsi="宋体" w:cs="宋体"/>
          <w:szCs w:val="24"/>
        </w:rPr>
        <w:t>4.2 采</w:t>
      </w:r>
      <w:r>
        <w:rPr>
          <w:rFonts w:hint="eastAsia" w:hAnsi="宋体"/>
          <w:szCs w:val="21"/>
        </w:rPr>
        <w:t>购代理费用由采购代理机构参照“计价格【2002】1980号”文件下浮20％向成交供应商收取，不足5000元按5000元收取，由成交供应商在领取成交通知书时一次性付清。</w:t>
      </w:r>
    </w:p>
    <w:p w14:paraId="4FEE86B0">
      <w:pPr>
        <w:tabs>
          <w:tab w:val="left" w:pos="7665"/>
        </w:tabs>
        <w:spacing w:line="360" w:lineRule="auto"/>
        <w:rPr>
          <w:rFonts w:ascii="新宋体" w:hAnsi="新宋体" w:eastAsia="新宋体" w:cs="新宋体"/>
          <w:szCs w:val="24"/>
        </w:rPr>
      </w:pPr>
      <w:r>
        <w:rPr>
          <w:rFonts w:ascii="新宋体" w:hAnsi="新宋体" w:eastAsia="新宋体" w:cs="新宋体"/>
          <w:b/>
          <w:szCs w:val="24"/>
        </w:rPr>
        <w:t>方式</w:t>
      </w:r>
      <w:r>
        <w:rPr>
          <w:rFonts w:hint="eastAsia" w:ascii="新宋体" w:hAnsi="新宋体" w:eastAsia="新宋体" w:cs="新宋体"/>
          <w:b/>
          <w:szCs w:val="24"/>
        </w:rPr>
        <w:t>1</w:t>
      </w:r>
      <w:r>
        <w:rPr>
          <w:rFonts w:hint="eastAsia" w:ascii="新宋体" w:hAnsi="新宋体" w:eastAsia="新宋体" w:cs="新宋体"/>
          <w:szCs w:val="24"/>
        </w:rPr>
        <w:t>：采取银行转账</w:t>
      </w:r>
    </w:p>
    <w:p w14:paraId="2CE320D7">
      <w:pPr>
        <w:pStyle w:val="36"/>
        <w:ind w:firstLine="480" w:firstLineChars="200"/>
        <w:rPr>
          <w:rFonts w:hAnsi="宋体" w:cs="宋体"/>
          <w:szCs w:val="24"/>
          <w:lang w:val="zh-CN"/>
        </w:rPr>
      </w:pPr>
      <w:r>
        <w:rPr>
          <w:rFonts w:hint="eastAsia" w:hAnsi="宋体" w:cs="宋体"/>
          <w:szCs w:val="24"/>
          <w:lang w:val="zh-CN"/>
        </w:rPr>
        <w:t>收款单位：四川正达建安工程项目管理有限公司</w:t>
      </w:r>
    </w:p>
    <w:p w14:paraId="2A7286F1">
      <w:pPr>
        <w:pStyle w:val="36"/>
        <w:ind w:firstLine="480" w:firstLineChars="200"/>
        <w:rPr>
          <w:rFonts w:hAnsi="宋体" w:cs="宋体"/>
          <w:szCs w:val="24"/>
          <w:lang w:val="zh-CN"/>
        </w:rPr>
      </w:pPr>
      <w:r>
        <w:rPr>
          <w:rFonts w:hint="eastAsia" w:hAnsi="宋体" w:cs="宋体"/>
          <w:szCs w:val="24"/>
          <w:lang w:val="zh-CN"/>
        </w:rPr>
        <w:t>开 户 行：绵阳商业银行恒丰支行</w:t>
      </w:r>
    </w:p>
    <w:p w14:paraId="73BB2181">
      <w:pPr>
        <w:pStyle w:val="36"/>
        <w:ind w:firstLine="480" w:firstLineChars="200"/>
        <w:rPr>
          <w:rFonts w:hAnsi="宋体" w:cs="宋体"/>
          <w:szCs w:val="24"/>
          <w:lang w:val="zh-CN"/>
        </w:rPr>
      </w:pPr>
      <w:r>
        <w:rPr>
          <w:rFonts w:hint="eastAsia" w:hAnsi="宋体" w:cs="宋体"/>
          <w:szCs w:val="24"/>
          <w:lang w:val="zh-CN"/>
        </w:rPr>
        <w:t>账    号：14011500000300</w:t>
      </w:r>
    </w:p>
    <w:p w14:paraId="098D860E">
      <w:pPr>
        <w:pStyle w:val="36"/>
        <w:rPr>
          <w:rFonts w:ascii="新宋体" w:hAnsi="新宋体" w:eastAsia="新宋体" w:cs="新宋体"/>
          <w:szCs w:val="24"/>
        </w:rPr>
      </w:pPr>
      <w:r>
        <w:rPr>
          <w:rFonts w:hint="eastAsia" w:ascii="新宋体" w:hAnsi="新宋体" w:eastAsia="新宋体" w:cs="新宋体"/>
          <w:b/>
          <w:szCs w:val="24"/>
        </w:rPr>
        <w:t>方式2</w:t>
      </w:r>
      <w:r>
        <w:rPr>
          <w:rFonts w:hint="eastAsia" w:ascii="新宋体" w:hAnsi="新宋体" w:eastAsia="新宋体" w:cs="新宋体"/>
          <w:szCs w:val="24"/>
        </w:rPr>
        <w:t>：采取现金形式</w:t>
      </w:r>
    </w:p>
    <w:p w14:paraId="2ED170B2">
      <w:pPr>
        <w:tabs>
          <w:tab w:val="left" w:pos="7665"/>
        </w:tabs>
        <w:spacing w:line="360" w:lineRule="auto"/>
        <w:ind w:firstLine="480"/>
        <w:rPr>
          <w:rFonts w:ascii="新宋体" w:hAnsi="新宋体" w:eastAsia="新宋体" w:cs="新宋体"/>
          <w:szCs w:val="24"/>
        </w:rPr>
      </w:pPr>
      <w:r>
        <w:rPr>
          <w:rFonts w:ascii="新宋体" w:hAnsi="新宋体" w:eastAsia="新宋体" w:cs="新宋体"/>
          <w:szCs w:val="24"/>
        </w:rPr>
        <w:t>注：两种方式任选其一</w:t>
      </w:r>
      <w:r>
        <w:rPr>
          <w:rFonts w:hint="eastAsia" w:ascii="新宋体" w:hAnsi="新宋体" w:eastAsia="新宋体" w:cs="新宋体"/>
          <w:szCs w:val="24"/>
        </w:rPr>
        <w:t>。</w:t>
      </w:r>
    </w:p>
    <w:p w14:paraId="09653366">
      <w:pPr>
        <w:spacing w:line="360" w:lineRule="auto"/>
        <w:ind w:firstLine="482" w:firstLineChars="200"/>
        <w:outlineLvl w:val="2"/>
        <w:rPr>
          <w:rFonts w:hAnsi="宋体" w:cs="宋体"/>
          <w:b/>
          <w:szCs w:val="24"/>
        </w:rPr>
      </w:pPr>
      <w:bookmarkStart w:id="115" w:name="_Toc4115"/>
      <w:bookmarkStart w:id="116" w:name="_Toc12142"/>
      <w:bookmarkStart w:id="117" w:name="_Toc170477080"/>
      <w:bookmarkStart w:id="118" w:name="_Toc167440829"/>
      <w:bookmarkStart w:id="119" w:name="_Toc138167973"/>
      <w:r>
        <w:rPr>
          <w:rFonts w:hint="eastAsia" w:hAnsi="宋体" w:cs="宋体"/>
          <w:b/>
          <w:szCs w:val="24"/>
        </w:rPr>
        <w:t>5、充分、公平竞争保障措施（实质性要求）</w:t>
      </w:r>
      <w:bookmarkEnd w:id="115"/>
      <w:bookmarkEnd w:id="116"/>
      <w:bookmarkEnd w:id="117"/>
      <w:bookmarkEnd w:id="118"/>
      <w:bookmarkEnd w:id="119"/>
    </w:p>
    <w:p w14:paraId="248543BE">
      <w:pPr>
        <w:pStyle w:val="37"/>
        <w:spacing w:line="360" w:lineRule="auto"/>
        <w:ind w:left="1" w:firstLine="482" w:firstLineChars="200"/>
        <w:rPr>
          <w:rFonts w:hAnsi="宋体" w:cs="宋体"/>
          <w:szCs w:val="24"/>
        </w:rPr>
      </w:pPr>
      <w:r>
        <w:rPr>
          <w:rFonts w:hint="eastAsia" w:hAnsi="宋体" w:cs="宋体"/>
          <w:b/>
          <w:szCs w:val="24"/>
        </w:rPr>
        <w:t>5.1</w:t>
      </w:r>
      <w:r>
        <w:rPr>
          <w:rFonts w:hAnsi="宋体" w:cs="宋体"/>
          <w:b/>
          <w:szCs w:val="24"/>
        </w:rPr>
        <w:t xml:space="preserve"> </w:t>
      </w:r>
      <w:r>
        <w:rPr>
          <w:rFonts w:hint="eastAsia" w:hAnsi="宋体" w:cs="宋体"/>
          <w:b/>
          <w:szCs w:val="24"/>
        </w:rPr>
        <w:t>利害关系供应商处理。</w:t>
      </w:r>
      <w:r>
        <w:rPr>
          <w:rFonts w:hint="eastAsia" w:hAnsi="宋体" w:cs="宋体"/>
          <w:szCs w:val="24"/>
        </w:rPr>
        <w:t>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0D8449C9">
      <w:pPr>
        <w:pStyle w:val="37"/>
        <w:spacing w:line="360" w:lineRule="auto"/>
        <w:ind w:left="1" w:firstLine="482" w:firstLineChars="200"/>
        <w:rPr>
          <w:rFonts w:hAnsi="宋体" w:cs="宋体"/>
          <w:szCs w:val="24"/>
        </w:rPr>
      </w:pPr>
      <w:r>
        <w:rPr>
          <w:rFonts w:hint="eastAsia" w:hAnsi="宋体" w:cs="宋体"/>
          <w:b/>
          <w:szCs w:val="24"/>
        </w:rPr>
        <w:t>5.2</w:t>
      </w:r>
      <w:r>
        <w:rPr>
          <w:rFonts w:hAnsi="宋体" w:cs="宋体"/>
          <w:b/>
          <w:szCs w:val="24"/>
        </w:rPr>
        <w:t xml:space="preserve"> </w:t>
      </w:r>
      <w:r>
        <w:rPr>
          <w:rFonts w:hint="eastAsia" w:hAnsi="宋体" w:cs="宋体"/>
          <w:b/>
          <w:szCs w:val="24"/>
        </w:rPr>
        <w:t>利害关系代理人处理。</w:t>
      </w:r>
      <w:r>
        <w:rPr>
          <w:rFonts w:hint="eastAsia" w:hAnsi="宋体" w:cs="宋体"/>
          <w:szCs w:val="24"/>
        </w:rPr>
        <w:t>两家以上的供应商不得在同一合同项下的采购项目中，委托同一个自然人、同一家庭的人员、同一单位的人员作为其授权代表，否则，其响应文件作为无效处理。</w:t>
      </w:r>
    </w:p>
    <w:p w14:paraId="21D22EAB">
      <w:pPr>
        <w:pStyle w:val="37"/>
        <w:spacing w:line="360" w:lineRule="auto"/>
        <w:ind w:left="1" w:firstLine="482" w:firstLineChars="200"/>
        <w:rPr>
          <w:rFonts w:hAnsi="宋体" w:cs="宋体"/>
          <w:szCs w:val="24"/>
        </w:rPr>
      </w:pPr>
      <w:r>
        <w:rPr>
          <w:rFonts w:hAnsi="宋体" w:cs="宋体"/>
          <w:b/>
          <w:szCs w:val="24"/>
        </w:rPr>
        <w:t>5.</w:t>
      </w:r>
      <w:r>
        <w:rPr>
          <w:rFonts w:hint="eastAsia" w:hAnsi="宋体" w:cs="宋体"/>
          <w:b/>
          <w:szCs w:val="24"/>
        </w:rPr>
        <w:t>3 前期参与供应商处理</w:t>
      </w:r>
      <w:r>
        <w:rPr>
          <w:rFonts w:hint="eastAsia" w:hAnsi="宋体" w:cs="宋体"/>
          <w:szCs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采购合同等实质性内容条款的，视同为采购项目提供规范编制。</w:t>
      </w:r>
    </w:p>
    <w:p w14:paraId="2BCC4EA6">
      <w:pPr>
        <w:pStyle w:val="37"/>
        <w:spacing w:line="360" w:lineRule="auto"/>
        <w:ind w:left="1" w:firstLine="480" w:firstLineChars="200"/>
        <w:rPr>
          <w:rFonts w:hAnsi="宋体" w:cs="宋体"/>
          <w:szCs w:val="24"/>
        </w:rPr>
      </w:pPr>
      <w:r>
        <w:rPr>
          <w:rFonts w:hAnsi="宋体" w:cs="宋体"/>
          <w:szCs w:val="24"/>
        </w:rPr>
        <w:t>5.4</w:t>
      </w:r>
      <w:r>
        <w:rPr>
          <w:rFonts w:hint="eastAsia" w:hAnsi="宋体" w:cs="宋体"/>
          <w:szCs w:val="24"/>
        </w:rPr>
        <w:t>供应商实际控制人或者中高级管理人员，同时是采购代理机构工作人员，不得参与本项目采购活动。</w:t>
      </w:r>
    </w:p>
    <w:p w14:paraId="1C82C8CC">
      <w:pPr>
        <w:pStyle w:val="37"/>
        <w:spacing w:line="360" w:lineRule="auto"/>
        <w:ind w:left="1" w:firstLine="480" w:firstLineChars="200"/>
        <w:rPr>
          <w:rFonts w:hAnsi="宋体" w:cs="宋体"/>
          <w:szCs w:val="24"/>
        </w:rPr>
      </w:pPr>
      <w:r>
        <w:rPr>
          <w:rFonts w:hAnsi="宋体" w:cs="宋体"/>
          <w:szCs w:val="24"/>
        </w:rPr>
        <w:t>5.5</w:t>
      </w:r>
      <w:r>
        <w:rPr>
          <w:rFonts w:hint="eastAsia" w:hAnsi="宋体" w:cs="宋体"/>
          <w:szCs w:val="24"/>
        </w:rPr>
        <w:t>供应商与采购代理机构存在关联关系，或者是采购代理机构的母公司或子公司，不得参加本项目采购活动。</w:t>
      </w:r>
    </w:p>
    <w:p w14:paraId="23B7CFDA">
      <w:pPr>
        <w:pStyle w:val="37"/>
        <w:spacing w:line="360" w:lineRule="auto"/>
        <w:ind w:left="1" w:firstLine="480" w:firstLineChars="200"/>
        <w:rPr>
          <w:rFonts w:hAnsi="宋体" w:cs="宋体"/>
          <w:szCs w:val="24"/>
        </w:rPr>
      </w:pPr>
      <w:r>
        <w:rPr>
          <w:rFonts w:hAnsi="宋体" w:cs="宋体"/>
          <w:szCs w:val="24"/>
        </w:rPr>
        <w:t>5.6</w:t>
      </w:r>
      <w:r>
        <w:rPr>
          <w:rFonts w:hint="eastAsia" w:hAnsi="宋体" w:cs="宋体"/>
          <w:szCs w:val="24"/>
        </w:rPr>
        <w:t>回避。采购活动中，采购人员及相关人员与供应商有下列利害关系之一的，应当回避：</w:t>
      </w:r>
    </w:p>
    <w:p w14:paraId="7420D9F9">
      <w:pPr>
        <w:pStyle w:val="37"/>
        <w:spacing w:line="360" w:lineRule="auto"/>
        <w:ind w:left="1" w:firstLine="480" w:firstLineChars="200"/>
        <w:rPr>
          <w:rFonts w:hAnsi="宋体" w:cs="宋体"/>
          <w:szCs w:val="24"/>
        </w:rPr>
      </w:pPr>
      <w:r>
        <w:rPr>
          <w:rFonts w:hint="eastAsia" w:hAnsi="宋体" w:cs="宋体"/>
          <w:szCs w:val="24"/>
        </w:rPr>
        <w:t>（1）参加采购活动前3年内与供应商存在劳动关系；</w:t>
      </w:r>
    </w:p>
    <w:p w14:paraId="7AC4E7CA">
      <w:pPr>
        <w:pStyle w:val="37"/>
        <w:spacing w:line="360" w:lineRule="auto"/>
        <w:ind w:left="1" w:firstLine="480" w:firstLineChars="200"/>
        <w:rPr>
          <w:rFonts w:hAnsi="宋体" w:cs="宋体"/>
          <w:szCs w:val="24"/>
        </w:rPr>
      </w:pPr>
      <w:r>
        <w:rPr>
          <w:rFonts w:hint="eastAsia" w:hAnsi="宋体" w:cs="宋体"/>
          <w:szCs w:val="24"/>
        </w:rPr>
        <w:t>（2）参加采购活动前3年内担任供应商的董事、监事；</w:t>
      </w:r>
    </w:p>
    <w:p w14:paraId="1C7B04DB">
      <w:pPr>
        <w:pStyle w:val="37"/>
        <w:spacing w:line="360" w:lineRule="auto"/>
        <w:ind w:left="1" w:firstLine="480" w:firstLineChars="200"/>
        <w:rPr>
          <w:rFonts w:hAnsi="宋体" w:cs="宋体"/>
          <w:szCs w:val="24"/>
        </w:rPr>
      </w:pPr>
      <w:r>
        <w:rPr>
          <w:rFonts w:hint="eastAsia" w:hAnsi="宋体" w:cs="宋体"/>
          <w:szCs w:val="24"/>
        </w:rPr>
        <w:t>（3）参加采购活动前3年内是供应商的控股股东或者实际控制人；</w:t>
      </w:r>
    </w:p>
    <w:p w14:paraId="5ED2E323">
      <w:pPr>
        <w:pStyle w:val="37"/>
        <w:spacing w:line="360" w:lineRule="auto"/>
        <w:ind w:left="1" w:firstLine="480" w:firstLineChars="200"/>
        <w:rPr>
          <w:rFonts w:hAnsi="宋体" w:cs="宋体"/>
          <w:szCs w:val="24"/>
        </w:rPr>
      </w:pPr>
      <w:r>
        <w:rPr>
          <w:rFonts w:hint="eastAsia" w:hAnsi="宋体" w:cs="宋体"/>
          <w:szCs w:val="24"/>
        </w:rPr>
        <w:t>（4）与供应商的法定代表人/主要负责人或者负责人有夫妻、直系血亲、三代以内旁系血亲或者近姻亲关系；</w:t>
      </w:r>
    </w:p>
    <w:p w14:paraId="61B87121">
      <w:pPr>
        <w:pStyle w:val="37"/>
        <w:spacing w:line="360" w:lineRule="auto"/>
        <w:ind w:left="1" w:firstLine="480" w:firstLineChars="200"/>
        <w:rPr>
          <w:rFonts w:hAnsi="宋体" w:cs="宋体"/>
          <w:szCs w:val="24"/>
        </w:rPr>
      </w:pPr>
      <w:r>
        <w:rPr>
          <w:rFonts w:hint="eastAsia" w:hAnsi="宋体" w:cs="宋体"/>
          <w:szCs w:val="24"/>
        </w:rPr>
        <w:t>（5）与供应商有其他可能影响采购活动公平、公正进行的关系。</w:t>
      </w:r>
    </w:p>
    <w:p w14:paraId="08154528">
      <w:pPr>
        <w:pStyle w:val="37"/>
        <w:spacing w:line="360" w:lineRule="auto"/>
        <w:ind w:left="1" w:firstLine="480" w:firstLineChars="200"/>
        <w:rPr>
          <w:rFonts w:hAnsi="宋体" w:cs="宋体"/>
          <w:szCs w:val="24"/>
        </w:rPr>
      </w:pPr>
      <w:r>
        <w:rPr>
          <w:rFonts w:hint="eastAsia" w:hAnsi="宋体" w:cs="宋体"/>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14:paraId="6E1A2125">
      <w:pPr>
        <w:pStyle w:val="37"/>
        <w:spacing w:line="360" w:lineRule="auto"/>
        <w:ind w:left="1" w:firstLine="482" w:firstLineChars="200"/>
        <w:rPr>
          <w:rFonts w:hAnsi="宋体" w:cs="宋体"/>
          <w:b/>
          <w:szCs w:val="24"/>
        </w:rPr>
      </w:pPr>
      <w:r>
        <w:rPr>
          <w:rFonts w:hint="eastAsia" w:hAnsi="宋体" w:cs="宋体"/>
          <w:b/>
          <w:szCs w:val="24"/>
        </w:rPr>
        <w:t>6、是否接受联合体（实质性要求）</w:t>
      </w:r>
    </w:p>
    <w:p w14:paraId="46568E94">
      <w:pPr>
        <w:pStyle w:val="37"/>
        <w:spacing w:line="360" w:lineRule="auto"/>
        <w:ind w:left="1" w:firstLine="480" w:firstLineChars="200"/>
        <w:rPr>
          <w:rFonts w:hAnsi="宋体" w:cs="宋体"/>
          <w:szCs w:val="24"/>
        </w:rPr>
      </w:pPr>
      <w:r>
        <w:rPr>
          <w:rFonts w:hint="eastAsia" w:hAnsi="宋体" w:cs="宋体"/>
          <w:szCs w:val="24"/>
        </w:rPr>
        <w:t>本项目不接受联合体磋商。</w:t>
      </w:r>
    </w:p>
    <w:p w14:paraId="023C3094">
      <w:pPr>
        <w:pStyle w:val="37"/>
        <w:spacing w:line="360" w:lineRule="auto"/>
        <w:ind w:left="1" w:firstLine="482" w:firstLineChars="200"/>
        <w:rPr>
          <w:rFonts w:hAnsi="宋体" w:cs="宋体"/>
          <w:b/>
          <w:szCs w:val="24"/>
        </w:rPr>
      </w:pPr>
      <w:r>
        <w:rPr>
          <w:rFonts w:hint="eastAsia" w:hAnsi="宋体" w:cs="宋体"/>
          <w:b/>
          <w:szCs w:val="24"/>
        </w:rPr>
        <w:t>7、磋商保证金（本项目不涉及）</w:t>
      </w:r>
    </w:p>
    <w:p w14:paraId="6ADAD678">
      <w:pPr>
        <w:pStyle w:val="37"/>
        <w:spacing w:line="360" w:lineRule="auto"/>
        <w:ind w:left="1" w:firstLine="480" w:firstLineChars="200"/>
        <w:rPr>
          <w:rFonts w:hAnsi="宋体" w:cs="宋体"/>
          <w:szCs w:val="24"/>
        </w:rPr>
      </w:pPr>
      <w:r>
        <w:rPr>
          <w:rFonts w:hint="eastAsia" w:hAnsi="宋体" w:cs="宋体"/>
          <w:szCs w:val="24"/>
        </w:rPr>
        <w:t>（1）供应商必须以人民币为计量单位提交磋商文件规定数额的磋商保证金，并作为其报价的一部分。</w:t>
      </w:r>
    </w:p>
    <w:p w14:paraId="5DCC181B">
      <w:pPr>
        <w:pStyle w:val="37"/>
        <w:spacing w:line="360" w:lineRule="auto"/>
        <w:ind w:left="1" w:firstLine="480" w:firstLineChars="200"/>
        <w:rPr>
          <w:rFonts w:hAnsi="宋体" w:cs="宋体"/>
          <w:szCs w:val="24"/>
        </w:rPr>
      </w:pPr>
      <w:r>
        <w:rPr>
          <w:rFonts w:hint="eastAsia" w:hAnsi="宋体" w:cs="宋体"/>
          <w:szCs w:val="24"/>
        </w:rPr>
        <w:t>（2）未按磋商文件要求在规定时间前交纳规定数额磋商保证金的响应文件无效。</w:t>
      </w:r>
    </w:p>
    <w:p w14:paraId="2A1D8744">
      <w:pPr>
        <w:pStyle w:val="37"/>
        <w:spacing w:line="360" w:lineRule="auto"/>
        <w:ind w:left="1" w:firstLine="480" w:firstLineChars="200"/>
        <w:rPr>
          <w:rFonts w:hAnsi="宋体" w:cs="宋体"/>
          <w:szCs w:val="24"/>
        </w:rPr>
      </w:pPr>
      <w:r>
        <w:rPr>
          <w:rFonts w:hint="eastAsia" w:hAnsi="宋体" w:cs="宋体"/>
          <w:szCs w:val="24"/>
        </w:rPr>
        <w:t>（3）供应商所交纳的磋商保证金不计利息。</w:t>
      </w:r>
    </w:p>
    <w:p w14:paraId="42DAEA29">
      <w:pPr>
        <w:pStyle w:val="37"/>
        <w:spacing w:line="360" w:lineRule="auto"/>
        <w:ind w:left="1" w:firstLine="480" w:firstLineChars="200"/>
        <w:rPr>
          <w:rFonts w:hAnsi="宋体" w:cs="宋体"/>
          <w:szCs w:val="24"/>
        </w:rPr>
      </w:pPr>
      <w:r>
        <w:rPr>
          <w:rFonts w:hint="eastAsia" w:hAnsi="宋体" w:cs="宋体"/>
          <w:szCs w:val="24"/>
        </w:rPr>
        <w:t>（4）未成交供应商的磋商保证金，将在成交通知书发出后五个工作日内全额无息退还。成交供应商的磋商保证金，在合同签订生效并按规定交纳了履约保证金后五个工作日内全额无息退还。（注：①因供应商自身原因造成的保证金延迟退还，采购代理机构不承担相应责任；②供应商因涉嫌违法违规，按照规定应当不予退还保证金的，有关部门处理认定违法违规行为期间不计入退还保证金期限内。）</w:t>
      </w:r>
    </w:p>
    <w:p w14:paraId="4FA4C5F0">
      <w:pPr>
        <w:pStyle w:val="37"/>
        <w:spacing w:line="360" w:lineRule="auto"/>
        <w:ind w:left="1" w:firstLine="480" w:firstLineChars="200"/>
        <w:rPr>
          <w:rFonts w:hAnsi="宋体" w:cs="宋体"/>
          <w:szCs w:val="24"/>
        </w:rPr>
      </w:pPr>
      <w:r>
        <w:rPr>
          <w:rFonts w:hint="eastAsia" w:hAnsi="宋体" w:cs="宋体"/>
          <w:szCs w:val="24"/>
        </w:rPr>
        <w:t>（5）发生下列情形之一的，采购代理机构将不予退还磋商保证金：</w:t>
      </w:r>
    </w:p>
    <w:p w14:paraId="75A09103">
      <w:pPr>
        <w:pStyle w:val="37"/>
        <w:spacing w:line="360" w:lineRule="auto"/>
        <w:ind w:left="1" w:firstLine="480" w:firstLineChars="200"/>
        <w:rPr>
          <w:rFonts w:hAnsi="宋体" w:cs="宋体"/>
          <w:szCs w:val="24"/>
        </w:rPr>
      </w:pPr>
      <w:r>
        <w:rPr>
          <w:rFonts w:hint="eastAsia" w:hAnsi="宋体" w:cs="宋体"/>
          <w:szCs w:val="24"/>
        </w:rPr>
        <w:t>①在磋商文件规定的递交响应文件截止时间后撤回响应文件的；</w:t>
      </w:r>
    </w:p>
    <w:p w14:paraId="4C85F12F">
      <w:pPr>
        <w:pStyle w:val="37"/>
        <w:spacing w:line="360" w:lineRule="auto"/>
        <w:ind w:left="1" w:firstLine="480" w:firstLineChars="200"/>
        <w:rPr>
          <w:rFonts w:hAnsi="宋体" w:cs="宋体"/>
          <w:szCs w:val="24"/>
        </w:rPr>
      </w:pPr>
      <w:r>
        <w:rPr>
          <w:rFonts w:hint="eastAsia" w:hAnsi="宋体" w:cs="宋体"/>
          <w:szCs w:val="24"/>
        </w:rPr>
        <w:t>②在采购人确定成交供应商之前放弃成交候选资格的；</w:t>
      </w:r>
    </w:p>
    <w:p w14:paraId="6CE7E742">
      <w:pPr>
        <w:pStyle w:val="37"/>
        <w:spacing w:line="360" w:lineRule="auto"/>
        <w:ind w:left="1" w:firstLine="480" w:firstLineChars="200"/>
        <w:rPr>
          <w:rFonts w:hAnsi="宋体" w:cs="宋体"/>
          <w:szCs w:val="24"/>
        </w:rPr>
      </w:pPr>
      <w:r>
        <w:rPr>
          <w:rFonts w:hint="eastAsia" w:hAnsi="宋体" w:cs="宋体"/>
          <w:szCs w:val="24"/>
        </w:rPr>
        <w:t>③成交后放弃成交、不领取或者不接收成交通知书的；</w:t>
      </w:r>
    </w:p>
    <w:p w14:paraId="3C9846A4">
      <w:pPr>
        <w:pStyle w:val="37"/>
        <w:spacing w:line="360" w:lineRule="auto"/>
        <w:ind w:left="1" w:firstLine="480" w:firstLineChars="200"/>
        <w:rPr>
          <w:rFonts w:hAnsi="宋体" w:cs="宋体"/>
          <w:szCs w:val="24"/>
        </w:rPr>
      </w:pPr>
      <w:r>
        <w:rPr>
          <w:rFonts w:hint="eastAsia" w:hAnsi="宋体" w:cs="宋体"/>
          <w:szCs w:val="24"/>
        </w:rPr>
        <w:t>④由于成交供应商的原因未能按照磋商文件的规定与采购人签订合同的；</w:t>
      </w:r>
    </w:p>
    <w:p w14:paraId="08A1CC0B">
      <w:pPr>
        <w:pStyle w:val="37"/>
        <w:spacing w:line="360" w:lineRule="auto"/>
        <w:ind w:left="1" w:firstLine="480" w:firstLineChars="200"/>
        <w:rPr>
          <w:rFonts w:hAnsi="宋体" w:cs="宋体"/>
          <w:szCs w:val="24"/>
        </w:rPr>
      </w:pPr>
      <w:r>
        <w:rPr>
          <w:rFonts w:hint="eastAsia" w:hAnsi="宋体" w:cs="宋体"/>
          <w:szCs w:val="24"/>
        </w:rPr>
        <w:t>⑤由于成交供应商的原因未能按照磋商文件的规定交纳履约保证金的；</w:t>
      </w:r>
    </w:p>
    <w:p w14:paraId="352DBAAF">
      <w:pPr>
        <w:pStyle w:val="37"/>
        <w:spacing w:line="360" w:lineRule="auto"/>
        <w:ind w:left="1" w:firstLine="480" w:firstLineChars="200"/>
        <w:rPr>
          <w:rFonts w:hAnsi="宋体" w:cs="宋体"/>
          <w:szCs w:val="24"/>
        </w:rPr>
      </w:pPr>
      <w:r>
        <w:rPr>
          <w:rFonts w:hint="eastAsia" w:hAnsi="宋体" w:cs="宋体"/>
          <w:szCs w:val="24"/>
        </w:rPr>
        <w:t>⑥供应商在采购活动中提供虚假材料的；</w:t>
      </w:r>
    </w:p>
    <w:p w14:paraId="515DF009">
      <w:pPr>
        <w:pStyle w:val="37"/>
        <w:spacing w:line="360" w:lineRule="auto"/>
        <w:ind w:left="1" w:firstLine="480" w:firstLineChars="200"/>
        <w:rPr>
          <w:rFonts w:hAnsi="宋体" w:cs="宋体"/>
          <w:szCs w:val="24"/>
        </w:rPr>
      </w:pPr>
      <w:r>
        <w:rPr>
          <w:rFonts w:hint="eastAsia" w:hAnsi="宋体" w:cs="宋体"/>
          <w:szCs w:val="24"/>
        </w:rPr>
        <w:t>⑦报价有效期内，供应商在采购活动中有违法、违规、违纪行为。</w:t>
      </w:r>
    </w:p>
    <w:p w14:paraId="6F7CDC26">
      <w:pPr>
        <w:pStyle w:val="37"/>
        <w:spacing w:line="360" w:lineRule="auto"/>
        <w:ind w:left="1" w:firstLine="482" w:firstLineChars="200"/>
        <w:rPr>
          <w:rFonts w:hAnsi="宋体" w:cs="宋体"/>
          <w:b/>
          <w:szCs w:val="24"/>
        </w:rPr>
      </w:pPr>
      <w:r>
        <w:rPr>
          <w:rFonts w:hint="eastAsia" w:hAnsi="宋体" w:cs="宋体"/>
          <w:b/>
          <w:szCs w:val="24"/>
        </w:rPr>
        <w:t xml:space="preserve">8、响应文件有效期（实质性要求） </w:t>
      </w:r>
    </w:p>
    <w:p w14:paraId="6F4F063F">
      <w:pPr>
        <w:pStyle w:val="37"/>
        <w:spacing w:line="360" w:lineRule="auto"/>
        <w:ind w:left="1" w:firstLine="482" w:firstLineChars="200"/>
        <w:rPr>
          <w:rFonts w:hAnsi="宋体" w:cs="宋体"/>
          <w:szCs w:val="24"/>
        </w:rPr>
      </w:pPr>
      <w:r>
        <w:rPr>
          <w:rFonts w:hint="eastAsia" w:hAnsi="宋体" w:cs="宋体"/>
          <w:b/>
          <w:bCs/>
          <w:szCs w:val="24"/>
          <w:u w:val="single"/>
        </w:rPr>
        <w:t>本项目响应文件有效期为递交响应文件截止之日起90天。</w:t>
      </w:r>
      <w:r>
        <w:rPr>
          <w:rFonts w:hint="eastAsia" w:hAnsi="宋体" w:cs="宋体"/>
          <w:szCs w:val="24"/>
        </w:rPr>
        <w:t>供应商响应文件中必须载明响应文件有效期，响应文件中载明的响应文件有效期可以长于磋商文件规定的期限，但不得短于磋商文件规定的期限。</w:t>
      </w:r>
    </w:p>
    <w:p w14:paraId="37F5B001">
      <w:pPr>
        <w:pStyle w:val="37"/>
        <w:spacing w:line="360" w:lineRule="auto"/>
        <w:ind w:left="1" w:firstLine="482" w:firstLineChars="200"/>
        <w:rPr>
          <w:rFonts w:hAnsi="宋体" w:cs="宋体"/>
          <w:b/>
          <w:szCs w:val="24"/>
        </w:rPr>
      </w:pPr>
      <w:r>
        <w:rPr>
          <w:rFonts w:hint="eastAsia" w:hAnsi="宋体" w:cs="宋体"/>
          <w:b/>
          <w:szCs w:val="24"/>
        </w:rPr>
        <w:t>9、知识产权（实质性要求）</w:t>
      </w:r>
    </w:p>
    <w:p w14:paraId="4FAFEE69">
      <w:pPr>
        <w:pStyle w:val="37"/>
        <w:spacing w:line="360" w:lineRule="auto"/>
        <w:ind w:left="1" w:firstLine="480" w:firstLineChars="200"/>
        <w:rPr>
          <w:rFonts w:hAnsi="宋体" w:cs="宋体"/>
          <w:szCs w:val="24"/>
        </w:rPr>
      </w:pPr>
      <w:r>
        <w:rPr>
          <w:rFonts w:hint="eastAsia" w:hAnsi="宋体" w:cs="宋体"/>
          <w:szCs w:val="24"/>
        </w:rPr>
        <w:t>（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6F4BA530">
      <w:pPr>
        <w:pStyle w:val="37"/>
        <w:spacing w:line="360" w:lineRule="auto"/>
        <w:ind w:left="1" w:firstLine="480" w:firstLineChars="200"/>
        <w:rPr>
          <w:rFonts w:hAnsi="宋体" w:cs="宋体"/>
          <w:szCs w:val="24"/>
        </w:rPr>
      </w:pPr>
      <w:r>
        <w:rPr>
          <w:rFonts w:hint="eastAsia" w:hAnsi="宋体" w:cs="宋体"/>
          <w:szCs w:val="24"/>
        </w:rPr>
        <w:t>（2）除非磋商文件特别规定，采购人享有本项目实施过程中产生的知识成果及知识产权。</w:t>
      </w:r>
    </w:p>
    <w:p w14:paraId="732F4935">
      <w:pPr>
        <w:pStyle w:val="37"/>
        <w:spacing w:line="360" w:lineRule="auto"/>
        <w:ind w:left="1" w:firstLine="480" w:firstLineChars="200"/>
        <w:rPr>
          <w:rFonts w:hAnsi="宋体" w:cs="宋体"/>
          <w:szCs w:val="24"/>
        </w:rPr>
      </w:pPr>
      <w:r>
        <w:rPr>
          <w:rFonts w:hint="eastAsia" w:hAnsi="宋体" w:cs="宋体"/>
          <w:szCs w:val="24"/>
        </w:rPr>
        <w:t>（3）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14:paraId="370904D6">
      <w:pPr>
        <w:pStyle w:val="37"/>
        <w:spacing w:line="360" w:lineRule="auto"/>
        <w:ind w:left="1" w:firstLine="480" w:firstLineChars="200"/>
        <w:rPr>
          <w:rFonts w:hAnsi="宋体" w:cs="宋体"/>
          <w:szCs w:val="24"/>
        </w:rPr>
      </w:pPr>
      <w:r>
        <w:rPr>
          <w:rFonts w:hint="eastAsia" w:hAnsi="宋体" w:cs="宋体"/>
          <w:szCs w:val="24"/>
        </w:rPr>
        <w:t xml:space="preserve">（4）如采用供应商所不拥有的知识产权，则在报价中必须包括合法获取该知识产权的相关费用。 </w:t>
      </w:r>
    </w:p>
    <w:p w14:paraId="105F82EE"/>
    <w:p w14:paraId="72C9653E">
      <w:pPr>
        <w:pStyle w:val="3"/>
        <w:spacing w:line="360" w:lineRule="auto"/>
        <w:rPr>
          <w:rFonts w:ascii="宋体" w:hAnsi="宋体" w:eastAsia="宋体" w:cs="宋体"/>
          <w:sz w:val="24"/>
          <w:szCs w:val="24"/>
        </w:rPr>
      </w:pPr>
      <w:bookmarkStart w:id="120" w:name="_Toc138167918"/>
      <w:bookmarkStart w:id="121" w:name="_Toc24424"/>
      <w:bookmarkStart w:id="122" w:name="_Toc138167974"/>
      <w:bookmarkStart w:id="123" w:name="_Toc170477081"/>
      <w:r>
        <w:rPr>
          <w:rFonts w:hint="eastAsia" w:ascii="宋体" w:hAnsi="宋体" w:eastAsia="宋体" w:cs="宋体"/>
          <w:sz w:val="24"/>
          <w:szCs w:val="24"/>
        </w:rPr>
        <w:t>三、竞争性磋商文件</w:t>
      </w:r>
      <w:bookmarkEnd w:id="120"/>
      <w:bookmarkEnd w:id="121"/>
      <w:bookmarkEnd w:id="122"/>
      <w:bookmarkEnd w:id="123"/>
    </w:p>
    <w:p w14:paraId="2C70C9C3">
      <w:pPr>
        <w:spacing w:line="360" w:lineRule="auto"/>
        <w:ind w:firstLine="482" w:firstLineChars="200"/>
        <w:outlineLvl w:val="2"/>
        <w:rPr>
          <w:rFonts w:hAnsi="宋体" w:cs="宋体"/>
          <w:b/>
          <w:szCs w:val="24"/>
        </w:rPr>
      </w:pPr>
      <w:bookmarkStart w:id="124" w:name="_Toc4488"/>
      <w:bookmarkStart w:id="125" w:name="_Toc19562"/>
      <w:bookmarkStart w:id="126" w:name="_Toc217446039"/>
      <w:bookmarkStart w:id="127" w:name="_Toc183682347"/>
      <w:bookmarkStart w:id="128" w:name="_Toc170477082"/>
      <w:bookmarkStart w:id="129" w:name="_Toc183582210"/>
      <w:bookmarkStart w:id="130" w:name="_Toc138167975"/>
      <w:bookmarkStart w:id="131" w:name="_Toc167440831"/>
      <w:bookmarkStart w:id="132" w:name="_Toc183682348"/>
      <w:bookmarkStart w:id="133" w:name="_Toc183582211"/>
      <w:bookmarkStart w:id="134" w:name="_Toc217446040"/>
      <w:r>
        <w:rPr>
          <w:rFonts w:hint="eastAsia" w:hAnsi="宋体" w:cs="宋体"/>
          <w:b/>
          <w:szCs w:val="24"/>
        </w:rPr>
        <w:t>1、竞争性磋商文件（以下简称磋商文件）的构成</w:t>
      </w:r>
      <w:bookmarkEnd w:id="124"/>
      <w:bookmarkEnd w:id="125"/>
      <w:bookmarkEnd w:id="126"/>
      <w:bookmarkEnd w:id="127"/>
      <w:bookmarkEnd w:id="128"/>
      <w:bookmarkEnd w:id="129"/>
      <w:bookmarkEnd w:id="130"/>
      <w:bookmarkEnd w:id="131"/>
    </w:p>
    <w:p w14:paraId="55AE1311">
      <w:pPr>
        <w:tabs>
          <w:tab w:val="left" w:pos="7665"/>
        </w:tabs>
        <w:spacing w:line="360" w:lineRule="auto"/>
        <w:ind w:firstLine="480" w:firstLineChars="200"/>
        <w:rPr>
          <w:rFonts w:hAnsi="宋体" w:cs="宋体"/>
          <w:szCs w:val="24"/>
        </w:rPr>
      </w:pPr>
      <w:r>
        <w:rPr>
          <w:rFonts w:hint="eastAsia" w:hAnsi="宋体" w:cs="宋体"/>
          <w:szCs w:val="24"/>
        </w:rPr>
        <w:t>1</w:t>
      </w:r>
      <w:r>
        <w:rPr>
          <w:rFonts w:hint="eastAsia" w:hAnsi="宋体" w:cs="宋体"/>
          <w:b/>
          <w:bCs/>
          <w:szCs w:val="24"/>
        </w:rPr>
        <w:t>.</w:t>
      </w:r>
      <w:r>
        <w:rPr>
          <w:rFonts w:hint="eastAsia" w:hAnsi="宋体" w:cs="宋体"/>
          <w:szCs w:val="24"/>
        </w:rPr>
        <w:t>1 磋商文件是供应商准备响应文件和参加磋商的依据，同时也是评审的重要依据，具有准法律文件性质。磋商文件用以阐明磋商项目所需的资质、技术、服务及报价等要求、磋商程序、有关规定和注意事项以及合同主要条款等。</w:t>
      </w:r>
    </w:p>
    <w:p w14:paraId="090EA19B">
      <w:pPr>
        <w:tabs>
          <w:tab w:val="left" w:pos="7665"/>
        </w:tabs>
        <w:spacing w:line="360" w:lineRule="auto"/>
        <w:ind w:firstLine="480" w:firstLineChars="200"/>
        <w:rPr>
          <w:rFonts w:hAnsi="宋体" w:cs="宋体"/>
          <w:szCs w:val="24"/>
        </w:rPr>
      </w:pPr>
      <w:r>
        <w:rPr>
          <w:rFonts w:hint="eastAsia" w:hAnsi="宋体" w:cs="宋体"/>
          <w:szCs w:val="24"/>
        </w:rPr>
        <w:t>1</w:t>
      </w:r>
      <w:r>
        <w:rPr>
          <w:rFonts w:hint="eastAsia" w:hAnsi="宋体" w:cs="宋体"/>
          <w:b/>
          <w:bCs/>
          <w:szCs w:val="24"/>
        </w:rPr>
        <w:t>.</w:t>
      </w:r>
      <w:r>
        <w:rPr>
          <w:rFonts w:hint="eastAsia" w:hAnsi="宋体" w:cs="宋体"/>
          <w:szCs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172B6439">
      <w:pPr>
        <w:spacing w:line="360" w:lineRule="auto"/>
        <w:ind w:firstLine="482" w:firstLineChars="200"/>
        <w:outlineLvl w:val="2"/>
        <w:rPr>
          <w:rFonts w:hAnsi="宋体" w:cs="宋体"/>
          <w:b/>
          <w:szCs w:val="24"/>
        </w:rPr>
      </w:pPr>
      <w:bookmarkStart w:id="135" w:name="_Toc170477083"/>
      <w:bookmarkStart w:id="136" w:name="_Toc9400"/>
      <w:bookmarkStart w:id="137" w:name="_Toc167440832"/>
      <w:bookmarkStart w:id="138" w:name="_Toc29837"/>
      <w:bookmarkStart w:id="139" w:name="_Toc138167976"/>
      <w:r>
        <w:rPr>
          <w:rFonts w:hint="eastAsia" w:hAnsi="宋体" w:cs="宋体"/>
          <w:b/>
          <w:szCs w:val="24"/>
        </w:rPr>
        <w:t>2、磋商文件的澄清和修改</w:t>
      </w:r>
      <w:bookmarkEnd w:id="135"/>
      <w:bookmarkEnd w:id="136"/>
      <w:bookmarkEnd w:id="137"/>
      <w:bookmarkEnd w:id="138"/>
      <w:bookmarkEnd w:id="139"/>
    </w:p>
    <w:p w14:paraId="0DFB15D2">
      <w:pPr>
        <w:tabs>
          <w:tab w:val="left" w:pos="720"/>
        </w:tabs>
        <w:spacing w:line="360" w:lineRule="auto"/>
        <w:ind w:firstLine="480" w:firstLineChars="200"/>
        <w:rPr>
          <w:rFonts w:hAnsi="宋体" w:cs="宋体"/>
          <w:szCs w:val="24"/>
        </w:rPr>
      </w:pPr>
      <w:r>
        <w:rPr>
          <w:rFonts w:hint="eastAsia" w:hAnsi="宋体" w:cs="宋体"/>
          <w:szCs w:val="24"/>
        </w:rPr>
        <w:t>2.1 在递交响应文件截止时间前，采购人、采购代理机构可以对磋商文件进行澄清或者修改。澄清或者修改的内容作为竞争性磋商文件的组成部分。</w:t>
      </w:r>
      <w:bookmarkEnd w:id="132"/>
      <w:bookmarkEnd w:id="133"/>
      <w:bookmarkEnd w:id="134"/>
      <w:r>
        <w:rPr>
          <w:rFonts w:hint="eastAsia" w:hAnsi="宋体" w:cs="宋体"/>
          <w:szCs w:val="24"/>
        </w:rPr>
        <w:t>澄清或者修改的内容可能影响响应文件编制的，采购人、采购代理机构应当在提交首次响应文件截止</w:t>
      </w:r>
      <w:bookmarkStart w:id="584" w:name="_GoBack"/>
      <w:r>
        <w:rPr>
          <w:rFonts w:hint="eastAsia" w:hAnsi="宋体" w:cs="宋体"/>
          <w:szCs w:val="24"/>
        </w:rPr>
        <w:t>时间</w:t>
      </w:r>
      <w:bookmarkEnd w:id="584"/>
      <w:r>
        <w:rPr>
          <w:rFonts w:hint="eastAsia" w:hAnsi="宋体" w:cs="宋体"/>
          <w:szCs w:val="24"/>
        </w:rPr>
        <w:t>至少5日前，将澄清或者修改的内容在本项目指定相关网站发布更正公告。该澄清或者修改的内容为竞争性磋商文件的组成部分；不足5日的，采购人、采购代理机构应当顺延递交响应文件截止时间。</w:t>
      </w:r>
    </w:p>
    <w:p w14:paraId="25739FE4">
      <w:pPr>
        <w:tabs>
          <w:tab w:val="left" w:pos="720"/>
        </w:tabs>
        <w:spacing w:line="360" w:lineRule="auto"/>
        <w:ind w:firstLine="480" w:firstLineChars="200"/>
        <w:rPr>
          <w:rFonts w:hAnsi="宋体" w:cs="宋体"/>
          <w:szCs w:val="24"/>
        </w:rPr>
      </w:pPr>
      <w:r>
        <w:rPr>
          <w:rFonts w:hAnsi="宋体" w:cs="宋体"/>
          <w:szCs w:val="24"/>
        </w:rPr>
        <w:t>2.2</w:t>
      </w:r>
      <w:r>
        <w:rPr>
          <w:rFonts w:hint="eastAsia" w:hAnsi="宋体" w:cs="宋体"/>
          <w:szCs w:val="24"/>
        </w:rPr>
        <w:t>竞争性磋商文件中采购人编制的内容前后有矛盾或不一致，有时间先后顺序的，以时间在后的修改、澄清或补正文件为准；没有时间先后顺序的，按有利于供应商的原则进行处理。</w:t>
      </w:r>
    </w:p>
    <w:p w14:paraId="47A44AC0">
      <w:pPr>
        <w:tabs>
          <w:tab w:val="left" w:pos="720"/>
        </w:tabs>
        <w:spacing w:line="360" w:lineRule="auto"/>
        <w:ind w:firstLine="480" w:firstLineChars="200"/>
        <w:rPr>
          <w:rFonts w:hAnsi="宋体" w:cs="宋体"/>
          <w:szCs w:val="24"/>
        </w:rPr>
      </w:pPr>
      <w:r>
        <w:rPr>
          <w:rFonts w:hAnsi="宋体" w:cs="宋体"/>
          <w:szCs w:val="24"/>
        </w:rPr>
        <w:t>2.</w:t>
      </w:r>
      <w:r>
        <w:rPr>
          <w:rFonts w:hint="eastAsia" w:hAnsi="宋体" w:cs="宋体"/>
          <w:szCs w:val="24"/>
        </w:rPr>
        <w:t>3本竞争性磋商文件的解释权归采购单位。</w:t>
      </w:r>
    </w:p>
    <w:p w14:paraId="0C3C4DCA"/>
    <w:p w14:paraId="1A8A7078">
      <w:pPr>
        <w:pStyle w:val="3"/>
        <w:spacing w:line="360" w:lineRule="auto"/>
        <w:rPr>
          <w:rFonts w:ascii="宋体" w:hAnsi="宋体" w:eastAsia="宋体" w:cs="宋体"/>
          <w:sz w:val="24"/>
          <w:szCs w:val="24"/>
        </w:rPr>
      </w:pPr>
      <w:bookmarkStart w:id="140" w:name="_Toc138167977"/>
      <w:bookmarkStart w:id="141" w:name="_Toc28186"/>
      <w:bookmarkStart w:id="142" w:name="_Toc170477084"/>
      <w:bookmarkStart w:id="143" w:name="_Toc138167919"/>
      <w:r>
        <w:rPr>
          <w:rFonts w:hint="eastAsia" w:ascii="宋体" w:hAnsi="宋体" w:eastAsia="宋体" w:cs="宋体"/>
          <w:sz w:val="24"/>
          <w:szCs w:val="24"/>
        </w:rPr>
        <w:t>四、响应文件</w:t>
      </w:r>
      <w:bookmarkEnd w:id="140"/>
      <w:bookmarkEnd w:id="141"/>
      <w:bookmarkEnd w:id="142"/>
      <w:bookmarkEnd w:id="143"/>
    </w:p>
    <w:p w14:paraId="138EAE17">
      <w:pPr>
        <w:spacing w:line="360" w:lineRule="auto"/>
        <w:ind w:firstLine="482" w:firstLineChars="200"/>
        <w:outlineLvl w:val="2"/>
        <w:rPr>
          <w:rFonts w:hAnsi="宋体" w:cs="宋体"/>
          <w:b/>
          <w:szCs w:val="24"/>
        </w:rPr>
      </w:pPr>
      <w:bookmarkStart w:id="144" w:name="_Toc217446043"/>
      <w:bookmarkStart w:id="145" w:name="_Toc183682352"/>
      <w:bookmarkStart w:id="146" w:name="_Toc183582215"/>
      <w:bookmarkStart w:id="147" w:name="_Toc21439"/>
      <w:bookmarkStart w:id="148" w:name="_Toc138167978"/>
      <w:bookmarkStart w:id="149" w:name="_Toc11590"/>
      <w:bookmarkStart w:id="150" w:name="_Toc170477085"/>
      <w:bookmarkStart w:id="151" w:name="_Toc167440834"/>
      <w:r>
        <w:rPr>
          <w:rFonts w:hint="eastAsia" w:hAnsi="宋体" w:cs="宋体"/>
          <w:b/>
          <w:szCs w:val="24"/>
        </w:rPr>
        <w:t>1、响应文件的语言</w:t>
      </w:r>
      <w:bookmarkEnd w:id="144"/>
      <w:bookmarkEnd w:id="145"/>
      <w:bookmarkEnd w:id="146"/>
      <w:r>
        <w:rPr>
          <w:rFonts w:hint="eastAsia" w:hAnsi="宋体" w:cs="宋体"/>
          <w:b/>
          <w:szCs w:val="24"/>
        </w:rPr>
        <w:t>（实质性要求）</w:t>
      </w:r>
      <w:bookmarkEnd w:id="147"/>
      <w:bookmarkEnd w:id="148"/>
      <w:bookmarkEnd w:id="149"/>
      <w:bookmarkEnd w:id="150"/>
      <w:bookmarkEnd w:id="151"/>
    </w:p>
    <w:p w14:paraId="1D456AD2">
      <w:pPr>
        <w:tabs>
          <w:tab w:val="left" w:pos="1134"/>
        </w:tabs>
        <w:spacing w:line="360" w:lineRule="auto"/>
        <w:ind w:firstLine="480" w:firstLineChars="200"/>
        <w:jc w:val="left"/>
        <w:rPr>
          <w:rFonts w:hAnsi="宋体" w:cs="宋体"/>
          <w:szCs w:val="24"/>
        </w:rPr>
      </w:pPr>
      <w:bookmarkStart w:id="152" w:name="_Toc183682353"/>
      <w:bookmarkStart w:id="153" w:name="_Toc183582216"/>
      <w:bookmarkStart w:id="154" w:name="_Toc217446044"/>
      <w:r>
        <w:rPr>
          <w:rFonts w:hint="eastAsia" w:hAnsi="宋体" w:cs="宋体"/>
          <w:szCs w:val="24"/>
        </w:rPr>
        <w:t>1.1 供应商提交的响应文件以及供应商与招标采购单位就有关磋商的所有来往书面文件均须使用中文。响应文件中如附有外文资料，必须逐一对应翻译成中文并加盖供应商公章后附在相关外文资料后面，否则，所提供的外文资料将可能被视为无效材料。（说明：供应商的法定代表人为外籍人士的，法定代表人的签字和护照除外。）</w:t>
      </w:r>
    </w:p>
    <w:p w14:paraId="379A4E33">
      <w:pPr>
        <w:tabs>
          <w:tab w:val="left" w:pos="1134"/>
        </w:tabs>
        <w:spacing w:line="360" w:lineRule="auto"/>
        <w:ind w:firstLine="480" w:firstLineChars="200"/>
        <w:jc w:val="left"/>
        <w:rPr>
          <w:rFonts w:hAnsi="宋体" w:cs="宋体"/>
          <w:szCs w:val="24"/>
        </w:rPr>
      </w:pPr>
      <w:r>
        <w:rPr>
          <w:rFonts w:hint="eastAsia" w:hAnsi="宋体" w:cs="宋体"/>
          <w:szCs w:val="24"/>
        </w:rPr>
        <w:t>1.2 翻译的中文资料与外文资料如果出现差异和矛盾时，以中文为准。实质性翻译错误的，所提供的外文资料将被视为无效材料。涉嫌虚假响应的按照相关法律法规处理。</w:t>
      </w:r>
    </w:p>
    <w:p w14:paraId="7EE41EDF">
      <w:pPr>
        <w:spacing w:line="360" w:lineRule="auto"/>
        <w:ind w:firstLine="482" w:firstLineChars="200"/>
        <w:outlineLvl w:val="2"/>
        <w:rPr>
          <w:rFonts w:hAnsi="宋体" w:cs="宋体"/>
          <w:b/>
          <w:szCs w:val="24"/>
        </w:rPr>
      </w:pPr>
      <w:bookmarkStart w:id="155" w:name="_Toc18365"/>
      <w:bookmarkStart w:id="156" w:name="_Toc138167979"/>
      <w:bookmarkStart w:id="157" w:name="_Toc10042"/>
      <w:bookmarkStart w:id="158" w:name="_Toc167440835"/>
      <w:bookmarkStart w:id="159" w:name="_Toc170477086"/>
      <w:r>
        <w:rPr>
          <w:rFonts w:hint="eastAsia" w:hAnsi="宋体" w:cs="宋体"/>
          <w:b/>
          <w:szCs w:val="24"/>
        </w:rPr>
        <w:t>2、计量单位</w:t>
      </w:r>
      <w:bookmarkEnd w:id="152"/>
      <w:bookmarkEnd w:id="153"/>
      <w:bookmarkEnd w:id="154"/>
      <w:r>
        <w:rPr>
          <w:rFonts w:hint="eastAsia" w:hAnsi="宋体" w:cs="宋体"/>
          <w:b/>
          <w:szCs w:val="24"/>
        </w:rPr>
        <w:t>（实质性要求）</w:t>
      </w:r>
      <w:bookmarkEnd w:id="155"/>
      <w:bookmarkEnd w:id="156"/>
      <w:bookmarkEnd w:id="157"/>
      <w:bookmarkEnd w:id="158"/>
      <w:bookmarkEnd w:id="159"/>
    </w:p>
    <w:p w14:paraId="72044C0A">
      <w:pPr>
        <w:spacing w:line="360" w:lineRule="auto"/>
        <w:ind w:firstLine="470" w:firstLineChars="196"/>
        <w:rPr>
          <w:rFonts w:hAnsi="宋体" w:cs="宋体"/>
          <w:szCs w:val="24"/>
        </w:rPr>
      </w:pPr>
      <w:r>
        <w:rPr>
          <w:rFonts w:hint="eastAsia" w:hAnsi="宋体" w:cs="宋体"/>
          <w:szCs w:val="24"/>
        </w:rPr>
        <w:t>除技术规格及要求中另有规定外，本采购项下的磋商均采用国家法定的计量单位。</w:t>
      </w:r>
    </w:p>
    <w:p w14:paraId="022A66FD">
      <w:pPr>
        <w:spacing w:line="360" w:lineRule="auto"/>
        <w:ind w:firstLine="482" w:firstLineChars="200"/>
        <w:outlineLvl w:val="2"/>
        <w:rPr>
          <w:rFonts w:hAnsi="宋体" w:cs="宋体"/>
          <w:b/>
          <w:szCs w:val="24"/>
        </w:rPr>
      </w:pPr>
      <w:bookmarkStart w:id="160" w:name="_Toc217446045"/>
      <w:bookmarkStart w:id="161" w:name="_Toc170477087"/>
      <w:bookmarkStart w:id="162" w:name="_Toc8736"/>
      <w:bookmarkStart w:id="163" w:name="_Toc138167980"/>
      <w:bookmarkStart w:id="164" w:name="_Toc32273"/>
      <w:bookmarkStart w:id="165" w:name="_Toc167440836"/>
      <w:r>
        <w:rPr>
          <w:rFonts w:hint="eastAsia" w:hAnsi="宋体" w:cs="宋体"/>
          <w:b/>
          <w:szCs w:val="24"/>
        </w:rPr>
        <w:t>3、磋商货币</w:t>
      </w:r>
      <w:bookmarkEnd w:id="160"/>
      <w:r>
        <w:rPr>
          <w:rFonts w:hint="eastAsia" w:hAnsi="宋体" w:cs="宋体"/>
          <w:b/>
          <w:szCs w:val="24"/>
        </w:rPr>
        <w:t>（实质性要求）</w:t>
      </w:r>
      <w:bookmarkEnd w:id="161"/>
      <w:bookmarkEnd w:id="162"/>
      <w:bookmarkEnd w:id="163"/>
      <w:bookmarkEnd w:id="164"/>
      <w:bookmarkEnd w:id="165"/>
    </w:p>
    <w:p w14:paraId="1DB32EB4">
      <w:pPr>
        <w:spacing w:line="360" w:lineRule="auto"/>
        <w:ind w:firstLine="470" w:firstLineChars="196"/>
        <w:rPr>
          <w:rFonts w:hAnsi="宋体" w:cs="宋体"/>
          <w:szCs w:val="24"/>
        </w:rPr>
      </w:pPr>
      <w:bookmarkStart w:id="166" w:name="_Toc217446046"/>
      <w:r>
        <w:rPr>
          <w:rFonts w:hint="eastAsia" w:hAnsi="宋体" w:cs="宋体"/>
          <w:szCs w:val="24"/>
        </w:rPr>
        <w:t>本次磋商项目的报价货币为人民币，报价以磋商文件规定为准。</w:t>
      </w:r>
    </w:p>
    <w:p w14:paraId="4928A747">
      <w:pPr>
        <w:spacing w:line="360" w:lineRule="auto"/>
        <w:ind w:firstLine="482" w:firstLineChars="200"/>
        <w:outlineLvl w:val="2"/>
        <w:rPr>
          <w:rFonts w:hAnsi="宋体" w:cs="宋体"/>
          <w:b/>
          <w:szCs w:val="24"/>
        </w:rPr>
      </w:pPr>
      <w:bookmarkStart w:id="167" w:name="_Toc167440837"/>
      <w:bookmarkStart w:id="168" w:name="_Toc138167981"/>
      <w:bookmarkStart w:id="169" w:name="_Toc20895"/>
      <w:bookmarkStart w:id="170" w:name="_Toc170477088"/>
      <w:bookmarkStart w:id="171" w:name="_Toc2458"/>
      <w:r>
        <w:rPr>
          <w:rFonts w:hint="eastAsia" w:hAnsi="宋体" w:cs="宋体"/>
          <w:b/>
          <w:szCs w:val="24"/>
        </w:rPr>
        <w:t>4、</w:t>
      </w:r>
      <w:bookmarkEnd w:id="166"/>
      <w:r>
        <w:rPr>
          <w:rFonts w:hint="eastAsia" w:hAnsi="宋体" w:cs="宋体"/>
          <w:b/>
          <w:szCs w:val="24"/>
        </w:rPr>
        <w:t>响应文件的组成</w:t>
      </w:r>
      <w:bookmarkEnd w:id="167"/>
      <w:bookmarkEnd w:id="168"/>
      <w:bookmarkEnd w:id="169"/>
      <w:bookmarkEnd w:id="170"/>
      <w:bookmarkEnd w:id="171"/>
    </w:p>
    <w:p w14:paraId="1222FD47">
      <w:pPr>
        <w:pStyle w:val="10"/>
        <w:spacing w:line="360" w:lineRule="auto"/>
        <w:ind w:firstLine="480" w:firstLineChars="200"/>
        <w:rPr>
          <w:rFonts w:hAnsi="宋体" w:cs="宋体"/>
          <w:b w:val="0"/>
          <w:sz w:val="24"/>
          <w:szCs w:val="24"/>
        </w:rPr>
      </w:pPr>
      <w:r>
        <w:rPr>
          <w:rFonts w:hint="eastAsia" w:hAnsi="宋体" w:cs="宋体"/>
          <w:b w:val="0"/>
          <w:sz w:val="24"/>
          <w:szCs w:val="24"/>
        </w:rPr>
        <w:t>供应商获得竞争性磋商文件后，应当按照竞争性磋商文件的规定和要求编制响应文件。</w:t>
      </w:r>
      <w:r>
        <w:rPr>
          <w:rFonts w:hint="eastAsia" w:hAnsi="宋体" w:cs="宋体"/>
          <w:sz w:val="24"/>
          <w:szCs w:val="24"/>
        </w:rPr>
        <w:t>响应文件分资格性响应文件和其他响应文件两部分，分册装订。</w:t>
      </w:r>
      <w:r>
        <w:rPr>
          <w:rFonts w:hint="eastAsia" w:hAnsi="宋体" w:cs="宋体"/>
          <w:b w:val="0"/>
          <w:sz w:val="24"/>
          <w:szCs w:val="24"/>
        </w:rPr>
        <w:t>资格性响应文件用于磋商小组资格审查，其他响应文件用于磋商。供应商对其提交的响应文件的真实性、合法性承担法律责任。</w:t>
      </w:r>
    </w:p>
    <w:p w14:paraId="4C977136">
      <w:pPr>
        <w:pStyle w:val="10"/>
        <w:spacing w:line="360" w:lineRule="auto"/>
        <w:ind w:firstLine="482" w:firstLineChars="200"/>
        <w:rPr>
          <w:rFonts w:hAnsi="宋体" w:cs="宋体"/>
          <w:bCs/>
          <w:sz w:val="24"/>
          <w:szCs w:val="24"/>
        </w:rPr>
      </w:pPr>
      <w:r>
        <w:rPr>
          <w:rFonts w:hAnsi="宋体" w:cs="宋体"/>
          <w:bCs/>
          <w:sz w:val="24"/>
          <w:szCs w:val="24"/>
        </w:rPr>
        <w:t>4</w:t>
      </w:r>
      <w:r>
        <w:rPr>
          <w:rFonts w:hint="eastAsia" w:hAnsi="宋体" w:cs="宋体"/>
          <w:bCs/>
          <w:sz w:val="24"/>
          <w:szCs w:val="24"/>
        </w:rPr>
        <w:t>.1资格性响应文件包括（但不限于）以下内容：</w:t>
      </w:r>
    </w:p>
    <w:p w14:paraId="7847A29E">
      <w:pPr>
        <w:pStyle w:val="10"/>
        <w:spacing w:line="360" w:lineRule="auto"/>
        <w:ind w:firstLine="480" w:firstLineChars="200"/>
        <w:rPr>
          <w:rFonts w:hAnsi="宋体" w:cs="宋体"/>
          <w:b w:val="0"/>
          <w:bCs/>
          <w:sz w:val="24"/>
          <w:szCs w:val="24"/>
        </w:rPr>
      </w:pPr>
      <w:r>
        <w:rPr>
          <w:rFonts w:hAnsi="宋体" w:cs="宋体"/>
          <w:b w:val="0"/>
          <w:bCs/>
          <w:sz w:val="24"/>
          <w:szCs w:val="24"/>
        </w:rPr>
        <w:t>（</w:t>
      </w:r>
      <w:r>
        <w:rPr>
          <w:rFonts w:hint="eastAsia" w:hAnsi="宋体" w:cs="宋体"/>
          <w:b w:val="0"/>
          <w:bCs/>
          <w:sz w:val="24"/>
          <w:szCs w:val="24"/>
        </w:rPr>
        <w:t>1）根据第三章要求逐条提供（实质性要求）；</w:t>
      </w:r>
    </w:p>
    <w:p w14:paraId="3A38D574">
      <w:pPr>
        <w:pStyle w:val="10"/>
        <w:spacing w:line="360" w:lineRule="auto"/>
        <w:ind w:firstLine="480" w:firstLineChars="200"/>
        <w:rPr>
          <w:rFonts w:hAnsi="宋体" w:cs="宋体"/>
          <w:b w:val="0"/>
          <w:szCs w:val="24"/>
        </w:rPr>
      </w:pPr>
      <w:r>
        <w:rPr>
          <w:rFonts w:hAnsi="宋体" w:cs="宋体"/>
          <w:b w:val="0"/>
          <w:bCs/>
          <w:sz w:val="24"/>
          <w:szCs w:val="24"/>
        </w:rPr>
        <w:t>（</w:t>
      </w:r>
      <w:r>
        <w:rPr>
          <w:rFonts w:hint="eastAsia" w:hAnsi="宋体" w:cs="宋体"/>
          <w:b w:val="0"/>
          <w:bCs/>
          <w:sz w:val="24"/>
          <w:szCs w:val="24"/>
        </w:rPr>
        <w:t>2）其他供应商认为需要提供的文件和资料。</w:t>
      </w:r>
    </w:p>
    <w:p w14:paraId="632AB86E">
      <w:pPr>
        <w:pStyle w:val="10"/>
        <w:spacing w:line="360" w:lineRule="auto"/>
        <w:ind w:firstLine="482" w:firstLineChars="200"/>
        <w:rPr>
          <w:rFonts w:hAnsi="宋体" w:cs="宋体"/>
          <w:sz w:val="24"/>
          <w:szCs w:val="24"/>
        </w:rPr>
      </w:pPr>
      <w:r>
        <w:rPr>
          <w:rFonts w:hAnsi="宋体" w:cs="宋体"/>
          <w:sz w:val="24"/>
          <w:szCs w:val="24"/>
        </w:rPr>
        <w:t>4</w:t>
      </w:r>
      <w:r>
        <w:rPr>
          <w:rFonts w:hint="eastAsia" w:hAnsi="宋体" w:cs="宋体"/>
          <w:sz w:val="24"/>
          <w:szCs w:val="24"/>
        </w:rPr>
        <w:t>.2其他响应文件包括（但不限于）以下内容：</w:t>
      </w:r>
    </w:p>
    <w:p w14:paraId="3D5C7667">
      <w:pPr>
        <w:numPr>
          <w:ilvl w:val="0"/>
          <w:numId w:val="3"/>
        </w:numPr>
        <w:spacing w:line="360" w:lineRule="auto"/>
        <w:ind w:firstLine="480"/>
        <w:rPr>
          <w:rFonts w:hAnsi="宋体" w:cs="宋体"/>
          <w:szCs w:val="24"/>
        </w:rPr>
      </w:pPr>
      <w:r>
        <w:rPr>
          <w:rFonts w:hAnsi="宋体" w:cs="宋体"/>
          <w:szCs w:val="24"/>
        </w:rPr>
        <w:t>磋商函；</w:t>
      </w:r>
    </w:p>
    <w:p w14:paraId="231C9328">
      <w:pPr>
        <w:numPr>
          <w:ilvl w:val="0"/>
          <w:numId w:val="3"/>
        </w:numPr>
        <w:spacing w:line="360" w:lineRule="auto"/>
        <w:ind w:firstLine="480"/>
        <w:rPr>
          <w:rFonts w:hAnsi="宋体" w:cs="宋体"/>
          <w:szCs w:val="24"/>
        </w:rPr>
      </w:pPr>
      <w:r>
        <w:rPr>
          <w:rFonts w:hint="eastAsia" w:hAnsi="宋体" w:cs="宋体"/>
          <w:szCs w:val="24"/>
        </w:rPr>
        <w:t>首次报价表（实质性要求）；</w:t>
      </w:r>
    </w:p>
    <w:p w14:paraId="43D1D317">
      <w:pPr>
        <w:numPr>
          <w:ilvl w:val="0"/>
          <w:numId w:val="3"/>
        </w:numPr>
        <w:spacing w:line="360" w:lineRule="auto"/>
        <w:ind w:firstLine="480"/>
        <w:rPr>
          <w:rFonts w:hAnsi="宋体" w:cs="宋体"/>
          <w:szCs w:val="24"/>
        </w:rPr>
      </w:pPr>
      <w:r>
        <w:rPr>
          <w:rFonts w:hint="eastAsia" w:hAnsi="宋体" w:cs="宋体"/>
          <w:szCs w:val="24"/>
        </w:rPr>
        <w:t>分</w:t>
      </w:r>
      <w:r>
        <w:rPr>
          <w:rFonts w:hAnsi="宋体" w:cs="宋体"/>
          <w:szCs w:val="24"/>
        </w:rPr>
        <w:t>项报价明细表（实质性要求）；</w:t>
      </w:r>
    </w:p>
    <w:p w14:paraId="7EBCF71F">
      <w:pPr>
        <w:numPr>
          <w:ilvl w:val="0"/>
          <w:numId w:val="3"/>
        </w:numPr>
        <w:spacing w:line="360" w:lineRule="auto"/>
        <w:ind w:firstLine="480"/>
        <w:rPr>
          <w:rFonts w:hAnsi="宋体" w:cs="宋体"/>
          <w:szCs w:val="24"/>
        </w:rPr>
      </w:pPr>
      <w:r>
        <w:rPr>
          <w:rFonts w:hint="eastAsia" w:hAnsi="宋体" w:cs="宋体"/>
          <w:szCs w:val="24"/>
        </w:rPr>
        <w:t>技术、服务响应表；</w:t>
      </w:r>
    </w:p>
    <w:p w14:paraId="6D12557D">
      <w:pPr>
        <w:numPr>
          <w:ilvl w:val="0"/>
          <w:numId w:val="3"/>
        </w:numPr>
        <w:spacing w:line="360" w:lineRule="auto"/>
        <w:ind w:firstLine="480"/>
        <w:rPr>
          <w:rFonts w:hAnsi="宋体" w:cs="宋体"/>
          <w:szCs w:val="24"/>
        </w:rPr>
      </w:pPr>
      <w:r>
        <w:rPr>
          <w:rFonts w:hint="eastAsia" w:hAnsi="宋体" w:cs="宋体"/>
          <w:szCs w:val="24"/>
        </w:rPr>
        <w:t>商务应答表；</w:t>
      </w:r>
    </w:p>
    <w:p w14:paraId="1EEA1FE5">
      <w:pPr>
        <w:numPr>
          <w:ilvl w:val="0"/>
          <w:numId w:val="3"/>
        </w:numPr>
        <w:spacing w:line="360" w:lineRule="auto"/>
        <w:ind w:firstLine="480"/>
        <w:rPr>
          <w:rFonts w:hAnsi="宋体" w:cs="宋体"/>
          <w:szCs w:val="24"/>
        </w:rPr>
      </w:pPr>
      <w:r>
        <w:rPr>
          <w:rFonts w:hint="eastAsia" w:hAnsi="宋体" w:cs="宋体"/>
          <w:szCs w:val="24"/>
        </w:rPr>
        <w:t>实施方案；</w:t>
      </w:r>
    </w:p>
    <w:p w14:paraId="6776A160">
      <w:pPr>
        <w:numPr>
          <w:ilvl w:val="0"/>
          <w:numId w:val="3"/>
        </w:numPr>
        <w:spacing w:line="360" w:lineRule="auto"/>
        <w:ind w:firstLine="480"/>
        <w:rPr>
          <w:rFonts w:hAnsi="宋体" w:cs="宋体"/>
          <w:szCs w:val="24"/>
        </w:rPr>
      </w:pPr>
      <w:r>
        <w:rPr>
          <w:rFonts w:hAnsi="宋体" w:cs="宋体"/>
          <w:szCs w:val="24"/>
        </w:rPr>
        <w:t>供应商基本情况表；</w:t>
      </w:r>
    </w:p>
    <w:p w14:paraId="1DFDCDBC">
      <w:pPr>
        <w:numPr>
          <w:ilvl w:val="0"/>
          <w:numId w:val="3"/>
        </w:numPr>
        <w:spacing w:line="360" w:lineRule="auto"/>
        <w:ind w:firstLine="480"/>
        <w:rPr>
          <w:rFonts w:hAnsi="宋体" w:cs="宋体"/>
          <w:szCs w:val="24"/>
        </w:rPr>
      </w:pPr>
      <w:r>
        <w:rPr>
          <w:rFonts w:hint="eastAsia" w:hAnsi="宋体" w:cs="宋体"/>
          <w:szCs w:val="24"/>
        </w:rPr>
        <w:t>供应商类似项目业绩一览表；</w:t>
      </w:r>
    </w:p>
    <w:p w14:paraId="0B233D16">
      <w:pPr>
        <w:numPr>
          <w:ilvl w:val="0"/>
          <w:numId w:val="3"/>
        </w:numPr>
        <w:spacing w:line="360" w:lineRule="auto"/>
        <w:ind w:firstLine="480"/>
        <w:rPr>
          <w:rFonts w:hAnsi="宋体" w:cs="宋体"/>
          <w:szCs w:val="24"/>
        </w:rPr>
      </w:pPr>
      <w:r>
        <w:rPr>
          <w:rFonts w:hint="eastAsia" w:hAnsi="宋体" w:cs="宋体"/>
          <w:szCs w:val="24"/>
        </w:rPr>
        <w:t>拟投入本项目管理、服务、其他人员情况表；</w:t>
      </w:r>
    </w:p>
    <w:p w14:paraId="41CE08AD">
      <w:pPr>
        <w:numPr>
          <w:ilvl w:val="0"/>
          <w:numId w:val="3"/>
        </w:numPr>
        <w:spacing w:line="360" w:lineRule="auto"/>
        <w:ind w:firstLine="480"/>
        <w:rPr>
          <w:rFonts w:hAnsi="宋体" w:cs="宋体"/>
          <w:szCs w:val="24"/>
        </w:rPr>
      </w:pPr>
      <w:r>
        <w:rPr>
          <w:rFonts w:hint="eastAsia" w:hAnsi="宋体" w:cs="宋体"/>
          <w:szCs w:val="24"/>
        </w:rPr>
        <w:t>供应商认为需提供的其他文件和资料。</w:t>
      </w:r>
    </w:p>
    <w:p w14:paraId="2EDDFD52">
      <w:pPr>
        <w:tabs>
          <w:tab w:val="left" w:pos="1050"/>
        </w:tabs>
        <w:spacing w:line="360" w:lineRule="auto"/>
        <w:ind w:firstLine="480" w:firstLineChars="200"/>
        <w:rPr>
          <w:rFonts w:hAnsi="宋体" w:cs="宋体"/>
          <w:bCs/>
          <w:szCs w:val="24"/>
        </w:rPr>
      </w:pPr>
      <w:r>
        <w:rPr>
          <w:rFonts w:hint="eastAsia" w:hAnsi="宋体" w:cs="宋体"/>
          <w:bCs/>
          <w:szCs w:val="24"/>
        </w:rPr>
        <w:t>以上证明材料均需加盖供应商鲜章。</w:t>
      </w:r>
    </w:p>
    <w:bookmarkEnd w:id="76"/>
    <w:bookmarkEnd w:id="77"/>
    <w:p w14:paraId="4574DC80">
      <w:pPr>
        <w:spacing w:line="360" w:lineRule="auto"/>
        <w:ind w:firstLine="482" w:firstLineChars="200"/>
        <w:outlineLvl w:val="2"/>
        <w:rPr>
          <w:rFonts w:hAnsi="宋体" w:cs="宋体"/>
          <w:b/>
          <w:szCs w:val="24"/>
        </w:rPr>
      </w:pPr>
      <w:bookmarkStart w:id="172" w:name="_Toc21340"/>
      <w:bookmarkStart w:id="173" w:name="_Toc170477089"/>
      <w:bookmarkStart w:id="174" w:name="_Toc138167982"/>
      <w:bookmarkStart w:id="175" w:name="_Toc167440838"/>
      <w:bookmarkStart w:id="176" w:name="_Toc11013"/>
      <w:r>
        <w:rPr>
          <w:rFonts w:hint="eastAsia" w:hAnsi="宋体" w:cs="宋体"/>
          <w:b/>
          <w:szCs w:val="24"/>
        </w:rPr>
        <w:t>5、响应文件的印制和签署</w:t>
      </w:r>
      <w:bookmarkEnd w:id="172"/>
      <w:bookmarkEnd w:id="173"/>
      <w:bookmarkEnd w:id="174"/>
      <w:bookmarkEnd w:id="175"/>
      <w:bookmarkEnd w:id="176"/>
    </w:p>
    <w:p w14:paraId="39E365EC">
      <w:pPr>
        <w:tabs>
          <w:tab w:val="left" w:pos="7665"/>
        </w:tabs>
        <w:spacing w:line="360" w:lineRule="auto"/>
        <w:ind w:left="14" w:leftChars="6" w:firstLine="482" w:firstLineChars="200"/>
        <w:rPr>
          <w:rFonts w:hAnsi="宋体" w:cs="宋体"/>
          <w:szCs w:val="24"/>
        </w:rPr>
      </w:pPr>
      <w:r>
        <w:rPr>
          <w:rFonts w:hAnsi="宋体" w:cs="宋体"/>
          <w:b/>
          <w:bCs/>
          <w:szCs w:val="24"/>
          <w:u w:val="single"/>
        </w:rPr>
        <w:t>5</w:t>
      </w:r>
      <w:r>
        <w:rPr>
          <w:rFonts w:hint="eastAsia" w:hAnsi="宋体" w:cs="宋体"/>
          <w:b/>
          <w:bCs/>
          <w:szCs w:val="24"/>
          <w:u w:val="single"/>
        </w:rPr>
        <w:t>.1响应文件正本1份、副本2份、电子文档1份（U盘，包含盖章的PDF扫描件）。</w:t>
      </w:r>
      <w:r>
        <w:rPr>
          <w:rFonts w:hint="eastAsia" w:hAnsi="宋体" w:cs="宋体"/>
          <w:szCs w:val="24"/>
        </w:rPr>
        <w:t>响应文件的正本和副本应在其封面右上角清楚地标明“正本”或“副本”字样。若正本和副本有不一致的内容，以正本书面响应文件为准。</w:t>
      </w:r>
    </w:p>
    <w:p w14:paraId="3C885968">
      <w:pPr>
        <w:tabs>
          <w:tab w:val="left" w:pos="7665"/>
        </w:tabs>
        <w:spacing w:line="360" w:lineRule="auto"/>
        <w:ind w:left="14" w:leftChars="6" w:firstLine="480" w:firstLineChars="200"/>
        <w:rPr>
          <w:rFonts w:hAnsi="宋体" w:cs="宋体"/>
          <w:szCs w:val="24"/>
        </w:rPr>
      </w:pPr>
      <w:r>
        <w:rPr>
          <w:rFonts w:hAnsi="宋体" w:cs="宋体"/>
          <w:szCs w:val="24"/>
        </w:rPr>
        <w:t>5</w:t>
      </w:r>
      <w:r>
        <w:rPr>
          <w:rFonts w:hint="eastAsia" w:hAnsi="宋体" w:cs="宋体"/>
          <w:szCs w:val="24"/>
        </w:rPr>
        <w:t>.2响应文件的正本需打印或用不褪色、不变质的墨水书写，并由供应商的法定代表人或授权代理人在规定签章处签字和盖章。响应文件副本可采用正本的复印件。</w:t>
      </w:r>
    </w:p>
    <w:p w14:paraId="766B5E5E">
      <w:pPr>
        <w:tabs>
          <w:tab w:val="left" w:pos="7665"/>
        </w:tabs>
        <w:spacing w:line="360" w:lineRule="auto"/>
        <w:ind w:left="14" w:leftChars="6" w:firstLine="480" w:firstLineChars="200"/>
        <w:rPr>
          <w:rFonts w:hAnsi="宋体" w:cs="宋体"/>
          <w:szCs w:val="24"/>
        </w:rPr>
      </w:pPr>
      <w:r>
        <w:rPr>
          <w:rFonts w:hAnsi="宋体" w:cs="宋体"/>
          <w:szCs w:val="24"/>
        </w:rPr>
        <w:t>5</w:t>
      </w:r>
      <w:r>
        <w:rPr>
          <w:rFonts w:hint="eastAsia" w:hAnsi="宋体" w:cs="宋体"/>
          <w:szCs w:val="24"/>
        </w:rPr>
        <w:t>.3响应文件的打印和书写应清楚工整，任何行间插字、涂改或增删，必须由供应商的法定代表人或授权代理人或盖个人印鉴。字迹潦草、表达不清或可能导致非唯一理解的响应文件可能视为无效响应文件。</w:t>
      </w:r>
    </w:p>
    <w:p w14:paraId="2900CB89">
      <w:pPr>
        <w:tabs>
          <w:tab w:val="left" w:pos="7665"/>
        </w:tabs>
        <w:spacing w:line="360" w:lineRule="auto"/>
        <w:ind w:left="14" w:leftChars="6" w:firstLine="480" w:firstLineChars="200"/>
        <w:rPr>
          <w:rFonts w:hAnsi="宋体" w:cs="宋体"/>
          <w:szCs w:val="24"/>
        </w:rPr>
      </w:pPr>
      <w:r>
        <w:rPr>
          <w:rFonts w:hAnsi="宋体" w:cs="宋体"/>
          <w:szCs w:val="24"/>
        </w:rPr>
        <w:t>5</w:t>
      </w:r>
      <w:r>
        <w:rPr>
          <w:rFonts w:hint="eastAsia" w:hAnsi="宋体" w:cs="宋体"/>
          <w:szCs w:val="24"/>
        </w:rPr>
        <w:t>.4响应文件统一用A4幅面纸印制，正本和副本应采用左侧胶装并逐一编码（宣传资料等彩页可不编码），不得采用活页夹等可随时拆换的方式装订，不得有零散页。若同一册的内容较多，可装订成若干分册，并在封面标明次序及册数。</w:t>
      </w:r>
    </w:p>
    <w:p w14:paraId="4105F4A9">
      <w:pPr>
        <w:tabs>
          <w:tab w:val="left" w:pos="7665"/>
        </w:tabs>
        <w:spacing w:line="360" w:lineRule="auto"/>
        <w:ind w:left="14" w:leftChars="6" w:firstLine="360" w:firstLineChars="150"/>
        <w:rPr>
          <w:rFonts w:hAnsi="宋体" w:cs="宋体"/>
          <w:szCs w:val="24"/>
        </w:rPr>
      </w:pPr>
      <w:r>
        <w:rPr>
          <w:rFonts w:hint="eastAsia" w:hAnsi="宋体" w:cs="宋体"/>
          <w:szCs w:val="24"/>
        </w:rPr>
        <w:t>响应文件中的证明、证件及附件等应集中紧附在相应正文内容后面，须与前面正文部分的顺序相对应。</w:t>
      </w:r>
    </w:p>
    <w:p w14:paraId="32A61A18">
      <w:pPr>
        <w:tabs>
          <w:tab w:val="left" w:pos="7665"/>
        </w:tabs>
        <w:spacing w:line="360" w:lineRule="auto"/>
        <w:ind w:left="14" w:leftChars="6" w:firstLine="480" w:firstLineChars="200"/>
        <w:rPr>
          <w:rFonts w:hAnsi="宋体" w:cs="宋体"/>
          <w:szCs w:val="24"/>
        </w:rPr>
      </w:pPr>
      <w:r>
        <w:rPr>
          <w:rFonts w:hAnsi="宋体" w:cs="宋体"/>
          <w:szCs w:val="24"/>
        </w:rPr>
        <w:t>5</w:t>
      </w:r>
      <w:r>
        <w:rPr>
          <w:rFonts w:hint="eastAsia" w:hAnsi="宋体" w:cs="宋体"/>
          <w:szCs w:val="24"/>
        </w:rPr>
        <w:t>.5响应文件需按磋商文件中相关要求印制、签署和盖章，内容应完整，如有遗漏，将被视为无效响应文件。</w:t>
      </w:r>
    </w:p>
    <w:p w14:paraId="4B6595C4">
      <w:pPr>
        <w:spacing w:line="360" w:lineRule="auto"/>
        <w:ind w:firstLine="482" w:firstLineChars="200"/>
        <w:outlineLvl w:val="2"/>
        <w:rPr>
          <w:rFonts w:hAnsi="宋体" w:cs="宋体"/>
          <w:b/>
          <w:szCs w:val="24"/>
        </w:rPr>
      </w:pPr>
      <w:bookmarkStart w:id="177" w:name="_Toc167440839"/>
      <w:bookmarkStart w:id="178" w:name="_Toc7030"/>
      <w:bookmarkStart w:id="179" w:name="_Toc138167983"/>
      <w:bookmarkStart w:id="180" w:name="_Toc170477090"/>
      <w:bookmarkStart w:id="181" w:name="_Toc15247"/>
      <w:r>
        <w:rPr>
          <w:rFonts w:hint="eastAsia" w:hAnsi="宋体" w:cs="宋体"/>
          <w:b/>
          <w:szCs w:val="24"/>
        </w:rPr>
        <w:t>6、响应文件的密封和标注</w:t>
      </w:r>
      <w:bookmarkEnd w:id="177"/>
      <w:bookmarkEnd w:id="178"/>
      <w:bookmarkEnd w:id="179"/>
      <w:bookmarkEnd w:id="180"/>
      <w:bookmarkEnd w:id="181"/>
    </w:p>
    <w:p w14:paraId="70713DA4">
      <w:pPr>
        <w:tabs>
          <w:tab w:val="left" w:pos="7665"/>
        </w:tabs>
        <w:spacing w:line="360" w:lineRule="auto"/>
        <w:ind w:left="14" w:leftChars="6" w:firstLine="480" w:firstLineChars="200"/>
        <w:rPr>
          <w:rFonts w:hAnsi="宋体" w:cs="宋体"/>
          <w:szCs w:val="24"/>
        </w:rPr>
      </w:pPr>
      <w:r>
        <w:rPr>
          <w:rFonts w:hAnsi="宋体" w:cs="宋体"/>
          <w:szCs w:val="24"/>
        </w:rPr>
        <w:t>6</w:t>
      </w:r>
      <w:r>
        <w:rPr>
          <w:rFonts w:hint="eastAsia" w:hAnsi="宋体" w:cs="宋体"/>
          <w:szCs w:val="24"/>
        </w:rPr>
        <w:t>.1供应商应在响应文件正本和所有副本的封面上注明供应商名称、采购项目名称、采购项目编号。</w:t>
      </w:r>
    </w:p>
    <w:p w14:paraId="5D7DF52C">
      <w:pPr>
        <w:tabs>
          <w:tab w:val="left" w:pos="7665"/>
        </w:tabs>
        <w:spacing w:line="360" w:lineRule="auto"/>
        <w:ind w:left="14" w:leftChars="6" w:firstLine="480" w:firstLineChars="200"/>
        <w:rPr>
          <w:rFonts w:hAnsi="宋体" w:cs="宋体"/>
          <w:szCs w:val="24"/>
        </w:rPr>
      </w:pPr>
      <w:r>
        <w:rPr>
          <w:rFonts w:hAnsi="宋体" w:cs="宋体"/>
          <w:szCs w:val="24"/>
        </w:rPr>
        <w:t>6</w:t>
      </w:r>
      <w:r>
        <w:rPr>
          <w:rFonts w:hint="eastAsia" w:hAnsi="宋体" w:cs="宋体"/>
          <w:szCs w:val="24"/>
        </w:rPr>
        <w:t>.2</w:t>
      </w:r>
      <w:r>
        <w:rPr>
          <w:rFonts w:hint="eastAsia" w:hAnsi="宋体" w:cs="宋体"/>
          <w:bCs/>
          <w:szCs w:val="24"/>
        </w:rPr>
        <w:t>响应文件可以单独密封包装，也可以所有响应文件密封包装在一个密封袋内。密封袋上应注明供应商名称、采购项目编号、采购项目名称</w:t>
      </w:r>
      <w:r>
        <w:rPr>
          <w:rFonts w:hint="eastAsia" w:hAnsi="宋体" w:cs="宋体"/>
          <w:szCs w:val="24"/>
        </w:rPr>
        <w:t>。</w:t>
      </w:r>
    </w:p>
    <w:p w14:paraId="15DA7E41">
      <w:pPr>
        <w:tabs>
          <w:tab w:val="left" w:pos="7665"/>
        </w:tabs>
        <w:spacing w:line="360" w:lineRule="auto"/>
        <w:ind w:left="14" w:leftChars="6" w:firstLine="480" w:firstLineChars="200"/>
        <w:rPr>
          <w:rFonts w:hAnsi="宋体" w:cs="宋体"/>
          <w:szCs w:val="24"/>
        </w:rPr>
      </w:pPr>
      <w:r>
        <w:rPr>
          <w:rFonts w:hAnsi="宋体" w:cs="宋体"/>
          <w:szCs w:val="24"/>
        </w:rPr>
        <w:t>6</w:t>
      </w:r>
      <w:r>
        <w:rPr>
          <w:rFonts w:hint="eastAsia" w:hAnsi="宋体" w:cs="宋体"/>
          <w:szCs w:val="24"/>
        </w:rPr>
        <w:t>.3所有外层密封袋的封口处应密封完好，并加盖公章。</w:t>
      </w:r>
    </w:p>
    <w:p w14:paraId="416612F8">
      <w:pPr>
        <w:tabs>
          <w:tab w:val="left" w:pos="7665"/>
        </w:tabs>
        <w:spacing w:line="360" w:lineRule="auto"/>
        <w:ind w:left="14" w:leftChars="6" w:firstLine="480" w:firstLineChars="200"/>
        <w:rPr>
          <w:rFonts w:hAnsi="宋体" w:cs="宋体"/>
          <w:szCs w:val="24"/>
        </w:rPr>
      </w:pPr>
      <w:r>
        <w:rPr>
          <w:rFonts w:hAnsi="宋体" w:cs="宋体"/>
          <w:szCs w:val="24"/>
        </w:rPr>
        <w:t>6</w:t>
      </w:r>
      <w:r>
        <w:rPr>
          <w:rFonts w:hint="eastAsia" w:hAnsi="宋体" w:cs="宋体"/>
          <w:szCs w:val="24"/>
        </w:rPr>
        <w:t>.4未按以上要求进行密封和标注的响应文件将被拒绝。</w:t>
      </w:r>
    </w:p>
    <w:p w14:paraId="574B26E4">
      <w:pPr>
        <w:spacing w:line="360" w:lineRule="auto"/>
        <w:ind w:firstLine="482" w:firstLineChars="200"/>
        <w:outlineLvl w:val="2"/>
        <w:rPr>
          <w:rFonts w:hAnsi="宋体" w:cs="宋体"/>
          <w:b/>
          <w:szCs w:val="24"/>
        </w:rPr>
      </w:pPr>
      <w:bookmarkStart w:id="182" w:name="_Toc138167984"/>
      <w:bookmarkStart w:id="183" w:name="_Toc170477091"/>
      <w:bookmarkStart w:id="184" w:name="_Toc8510"/>
      <w:bookmarkStart w:id="185" w:name="_Toc167440840"/>
      <w:bookmarkStart w:id="186" w:name="_Toc18061"/>
      <w:r>
        <w:rPr>
          <w:rFonts w:hint="eastAsia" w:hAnsi="宋体" w:cs="宋体"/>
          <w:b/>
          <w:szCs w:val="24"/>
        </w:rPr>
        <w:t>7、响应文件的递交、修改和撤回</w:t>
      </w:r>
      <w:bookmarkEnd w:id="182"/>
      <w:bookmarkEnd w:id="183"/>
      <w:bookmarkEnd w:id="184"/>
      <w:bookmarkEnd w:id="185"/>
      <w:bookmarkEnd w:id="186"/>
    </w:p>
    <w:p w14:paraId="2C0694D3">
      <w:pPr>
        <w:tabs>
          <w:tab w:val="left" w:pos="1095"/>
        </w:tabs>
        <w:spacing w:line="360" w:lineRule="auto"/>
        <w:ind w:firstLine="460" w:firstLineChars="192"/>
        <w:rPr>
          <w:rFonts w:hAnsi="宋体" w:cs="宋体"/>
          <w:szCs w:val="24"/>
        </w:rPr>
      </w:pPr>
      <w:r>
        <w:rPr>
          <w:rFonts w:hAnsi="宋体" w:cs="宋体"/>
          <w:szCs w:val="24"/>
        </w:rPr>
        <w:t>7</w:t>
      </w:r>
      <w:r>
        <w:rPr>
          <w:rFonts w:hint="eastAsia" w:hAnsi="宋体" w:cs="宋体"/>
          <w:szCs w:val="24"/>
        </w:rPr>
        <w:t>.1 供应商应在磋商文件规定的响应文件递交截止时间前，将响应文件按磋商文件的规定密封后送达磋商地点。响应文件递交截止时间以后送达的响应文件将不予接收。</w:t>
      </w:r>
    </w:p>
    <w:p w14:paraId="66D5BE22">
      <w:pPr>
        <w:tabs>
          <w:tab w:val="left" w:pos="1095"/>
        </w:tabs>
        <w:spacing w:line="360" w:lineRule="auto"/>
        <w:ind w:firstLine="460" w:firstLineChars="192"/>
        <w:rPr>
          <w:rFonts w:hAnsi="宋体" w:cs="宋体"/>
          <w:szCs w:val="24"/>
        </w:rPr>
      </w:pPr>
      <w:r>
        <w:rPr>
          <w:rFonts w:hAnsi="宋体" w:cs="宋体"/>
          <w:szCs w:val="24"/>
        </w:rPr>
        <w:t>7</w:t>
      </w:r>
      <w:r>
        <w:rPr>
          <w:rFonts w:hint="eastAsia" w:hAnsi="宋体" w:cs="宋体"/>
          <w:szCs w:val="24"/>
        </w:rPr>
        <w:t>.2递交响应文件时，报名供应商名称和磋商文件的项目编号与磋商供应商名称和响应文件的项目编号必须一致，否则响应文件无效，但响应文件实质内容一致，只是封面文字错误的，可以在评审过程中当面予以澄清，以有效的澄清材料作为认定响应文件是否有效的依据。</w:t>
      </w:r>
    </w:p>
    <w:p w14:paraId="2266C419">
      <w:pPr>
        <w:tabs>
          <w:tab w:val="left" w:pos="1095"/>
        </w:tabs>
        <w:spacing w:line="360" w:lineRule="auto"/>
        <w:ind w:firstLine="460" w:firstLineChars="192"/>
        <w:rPr>
          <w:rFonts w:hAnsi="宋体" w:cs="宋体"/>
          <w:szCs w:val="24"/>
        </w:rPr>
      </w:pPr>
      <w:r>
        <w:rPr>
          <w:rFonts w:hAnsi="宋体" w:cs="宋体"/>
          <w:szCs w:val="24"/>
        </w:rPr>
        <w:t>7</w:t>
      </w:r>
      <w:r>
        <w:rPr>
          <w:rFonts w:hint="eastAsia" w:hAnsi="宋体" w:cs="宋体"/>
          <w:szCs w:val="24"/>
        </w:rPr>
        <w:t>.3供应商在递交响应文件时，</w:t>
      </w:r>
      <w:r>
        <w:rPr>
          <w:rFonts w:hint="eastAsia" w:hAnsi="宋体" w:cs="宋体"/>
          <w:b/>
          <w:szCs w:val="24"/>
        </w:rPr>
        <w:t>需单独准备加盖供应商鲜章的供应同营业执照副本复印件、有效磋商保证金交纳凭证复印件（如有）、法定代表人身份证明书原件、法定代表人身份证复印件（非法定代表人参加的还须同时准备法定代表人授权委托书及授权代理人身份证复印件）一并同时递交。</w:t>
      </w:r>
      <w:r>
        <w:rPr>
          <w:rFonts w:hint="eastAsia" w:hAnsi="宋体" w:cs="宋体"/>
          <w:b/>
          <w:bCs/>
          <w:szCs w:val="24"/>
        </w:rPr>
        <w:t>未按此要求递交的响应文件将被拒绝。</w:t>
      </w:r>
    </w:p>
    <w:p w14:paraId="368F7B70">
      <w:pPr>
        <w:tabs>
          <w:tab w:val="left" w:pos="1095"/>
        </w:tabs>
        <w:spacing w:line="360" w:lineRule="auto"/>
        <w:ind w:firstLine="460" w:firstLineChars="192"/>
        <w:rPr>
          <w:rFonts w:hAnsi="宋体" w:cs="宋体"/>
          <w:szCs w:val="24"/>
        </w:rPr>
      </w:pPr>
      <w:r>
        <w:rPr>
          <w:rFonts w:hAnsi="宋体" w:cs="宋体"/>
          <w:szCs w:val="24"/>
        </w:rPr>
        <w:t>7</w:t>
      </w:r>
      <w:r>
        <w:rPr>
          <w:rFonts w:hint="eastAsia" w:hAnsi="宋体" w:cs="宋体"/>
          <w:szCs w:val="24"/>
        </w:rPr>
        <w:t>.4本次磋商不接受</w:t>
      </w:r>
      <w:r>
        <w:rPr>
          <w:rFonts w:hint="eastAsia" w:hAnsi="宋体"/>
          <w:szCs w:val="24"/>
        </w:rPr>
        <w:t>其他方式递交的</w:t>
      </w:r>
      <w:r>
        <w:rPr>
          <w:rFonts w:hint="eastAsia" w:hAnsi="宋体" w:cs="宋体"/>
          <w:szCs w:val="24"/>
        </w:rPr>
        <w:t>响应文件。</w:t>
      </w:r>
    </w:p>
    <w:p w14:paraId="416D3B8F">
      <w:pPr>
        <w:tabs>
          <w:tab w:val="left" w:pos="1095"/>
        </w:tabs>
        <w:spacing w:line="360" w:lineRule="auto"/>
        <w:ind w:firstLine="460" w:firstLineChars="192"/>
        <w:rPr>
          <w:rFonts w:hAnsi="宋体" w:cs="宋体"/>
          <w:szCs w:val="24"/>
        </w:rPr>
      </w:pPr>
      <w:r>
        <w:rPr>
          <w:rFonts w:hAnsi="宋体" w:cs="宋体"/>
          <w:szCs w:val="24"/>
        </w:rPr>
        <w:t>7</w:t>
      </w:r>
      <w:r>
        <w:rPr>
          <w:rFonts w:hint="eastAsia" w:hAnsi="宋体" w:cs="宋体"/>
          <w:szCs w:val="24"/>
        </w:rPr>
        <w:t>.5供应商在递交响应文件截止时间前，可以对所递交的响应文件进行补充、修改或者撤回，并书面通知采购人、采购代理机构。补充、修改的内容作为响应文件的组成部分。补充、修改的内容与响应文件不一致的，以补充、修改的内容为准。</w:t>
      </w:r>
    </w:p>
    <w:p w14:paraId="66D4210D">
      <w:pPr>
        <w:spacing w:line="360" w:lineRule="auto"/>
        <w:ind w:firstLine="482" w:firstLineChars="200"/>
        <w:outlineLvl w:val="2"/>
        <w:rPr>
          <w:rFonts w:hAnsi="宋体" w:cs="宋体"/>
          <w:b/>
          <w:szCs w:val="24"/>
        </w:rPr>
      </w:pPr>
      <w:bookmarkStart w:id="187" w:name="_Toc138167985"/>
      <w:bookmarkStart w:id="188" w:name="_Toc167440841"/>
      <w:bookmarkStart w:id="189" w:name="_Toc19216"/>
      <w:bookmarkStart w:id="190" w:name="_Toc18126"/>
      <w:bookmarkStart w:id="191" w:name="_Toc170477092"/>
      <w:r>
        <w:rPr>
          <w:rFonts w:hint="eastAsia" w:hAnsi="宋体" w:cs="宋体"/>
          <w:b/>
          <w:szCs w:val="24"/>
        </w:rPr>
        <w:t>8、响应文件不予受理情形</w:t>
      </w:r>
      <w:bookmarkEnd w:id="187"/>
      <w:bookmarkEnd w:id="188"/>
      <w:bookmarkEnd w:id="189"/>
      <w:bookmarkEnd w:id="190"/>
      <w:bookmarkEnd w:id="191"/>
    </w:p>
    <w:p w14:paraId="25E3DC3B">
      <w:pPr>
        <w:tabs>
          <w:tab w:val="left" w:pos="1095"/>
        </w:tabs>
        <w:spacing w:line="360" w:lineRule="auto"/>
        <w:ind w:firstLine="460" w:firstLineChars="192"/>
        <w:rPr>
          <w:rFonts w:hAnsi="宋体" w:cs="宋体"/>
          <w:szCs w:val="24"/>
        </w:rPr>
      </w:pPr>
      <w:r>
        <w:rPr>
          <w:rFonts w:hint="eastAsia" w:hAnsi="宋体" w:cs="宋体"/>
          <w:szCs w:val="24"/>
        </w:rPr>
        <w:t>有以下情形之一的，响应文件不予以受理：</w:t>
      </w:r>
    </w:p>
    <w:p w14:paraId="4274CCCA">
      <w:pPr>
        <w:tabs>
          <w:tab w:val="left" w:pos="1095"/>
        </w:tabs>
        <w:spacing w:line="360" w:lineRule="auto"/>
        <w:ind w:firstLine="460" w:firstLineChars="192"/>
        <w:rPr>
          <w:rFonts w:hAnsi="宋体" w:cs="宋体"/>
          <w:szCs w:val="24"/>
        </w:rPr>
      </w:pPr>
      <w:r>
        <w:rPr>
          <w:rFonts w:hint="eastAsia" w:hAnsi="宋体" w:cs="宋体"/>
          <w:szCs w:val="24"/>
        </w:rPr>
        <w:t>（1）不在磋商截止时间前履行签到手续的。</w:t>
      </w:r>
    </w:p>
    <w:p w14:paraId="3B8527BF">
      <w:pPr>
        <w:tabs>
          <w:tab w:val="left" w:pos="1095"/>
        </w:tabs>
        <w:spacing w:line="360" w:lineRule="auto"/>
        <w:ind w:firstLine="460" w:firstLineChars="192"/>
        <w:rPr>
          <w:rFonts w:hAnsi="宋体" w:cs="宋体"/>
          <w:szCs w:val="24"/>
        </w:rPr>
      </w:pPr>
      <w:r>
        <w:rPr>
          <w:rFonts w:hint="eastAsia" w:hAnsi="宋体" w:cs="宋体"/>
          <w:szCs w:val="24"/>
        </w:rPr>
        <w:t>（2）未通过报名获取了竞争性磋商文件的。</w:t>
      </w:r>
    </w:p>
    <w:p w14:paraId="7C875626">
      <w:pPr>
        <w:tabs>
          <w:tab w:val="left" w:pos="1095"/>
        </w:tabs>
        <w:spacing w:line="360" w:lineRule="auto"/>
        <w:ind w:firstLine="460" w:firstLineChars="192"/>
        <w:rPr>
          <w:rFonts w:hAnsi="宋体" w:cs="宋体"/>
          <w:szCs w:val="24"/>
        </w:rPr>
      </w:pPr>
      <w:r>
        <w:rPr>
          <w:rFonts w:hint="eastAsia" w:hAnsi="宋体" w:cs="宋体"/>
          <w:szCs w:val="24"/>
        </w:rPr>
        <w:t>（3）磋商截止时间以后送达的响应文件或邮寄响应文件的。</w:t>
      </w:r>
    </w:p>
    <w:p w14:paraId="09ADD956">
      <w:pPr>
        <w:tabs>
          <w:tab w:val="left" w:pos="1095"/>
        </w:tabs>
        <w:spacing w:line="360" w:lineRule="auto"/>
        <w:ind w:firstLine="460" w:firstLineChars="192"/>
        <w:rPr>
          <w:rFonts w:hAnsi="宋体" w:cs="宋体"/>
          <w:szCs w:val="24"/>
        </w:rPr>
      </w:pPr>
      <w:r>
        <w:rPr>
          <w:rFonts w:hint="eastAsia" w:hAnsi="宋体" w:cs="宋体"/>
          <w:szCs w:val="24"/>
        </w:rPr>
        <w:t>（4）未按竞争性磋商文件规定交纳方式和数额磋商保证金的（本项目不涉及）。</w:t>
      </w:r>
    </w:p>
    <w:p w14:paraId="500F72F2">
      <w:pPr>
        <w:tabs>
          <w:tab w:val="left" w:pos="1095"/>
        </w:tabs>
        <w:spacing w:line="360" w:lineRule="auto"/>
        <w:ind w:firstLine="460" w:firstLineChars="192"/>
        <w:rPr>
          <w:rFonts w:hAnsi="宋体" w:cs="宋体"/>
          <w:szCs w:val="24"/>
        </w:rPr>
      </w:pPr>
      <w:r>
        <w:rPr>
          <w:rFonts w:hint="eastAsia" w:hAnsi="宋体" w:cs="宋体"/>
          <w:szCs w:val="24"/>
        </w:rPr>
        <w:t>（5）在磋商会现场有故意损毁其他供应商响应文件等扰乱磋商秩序行为的。</w:t>
      </w:r>
    </w:p>
    <w:p w14:paraId="3AABACE3">
      <w:bookmarkStart w:id="192" w:name="_Toc22416"/>
      <w:bookmarkStart w:id="193" w:name="_Toc217446050"/>
      <w:bookmarkStart w:id="194" w:name="_Toc183582223"/>
      <w:bookmarkStart w:id="195" w:name="_Toc183682360"/>
    </w:p>
    <w:p w14:paraId="609E1911">
      <w:pPr>
        <w:pStyle w:val="3"/>
        <w:spacing w:line="360" w:lineRule="auto"/>
        <w:rPr>
          <w:rFonts w:ascii="宋体" w:hAnsi="宋体" w:eastAsia="宋体" w:cs="宋体"/>
          <w:sz w:val="24"/>
          <w:szCs w:val="24"/>
        </w:rPr>
      </w:pPr>
      <w:bookmarkStart w:id="196" w:name="_Toc138167920"/>
      <w:bookmarkStart w:id="197" w:name="_Toc23493"/>
      <w:bookmarkStart w:id="198" w:name="_Toc138167986"/>
      <w:bookmarkStart w:id="199" w:name="_Toc170477093"/>
      <w:r>
        <w:rPr>
          <w:rFonts w:ascii="宋体" w:hAnsi="宋体" w:eastAsia="宋体" w:cs="宋体"/>
          <w:sz w:val="24"/>
          <w:szCs w:val="24"/>
        </w:rPr>
        <w:t>五、</w:t>
      </w:r>
      <w:r>
        <w:rPr>
          <w:rFonts w:hint="eastAsia" w:ascii="宋体" w:hAnsi="宋体" w:eastAsia="宋体" w:cs="宋体"/>
          <w:sz w:val="24"/>
          <w:szCs w:val="24"/>
        </w:rPr>
        <w:t>磋商保证金</w:t>
      </w:r>
      <w:bookmarkEnd w:id="192"/>
      <w:bookmarkEnd w:id="196"/>
      <w:bookmarkEnd w:id="197"/>
      <w:bookmarkEnd w:id="198"/>
      <w:bookmarkEnd w:id="199"/>
    </w:p>
    <w:p w14:paraId="06730F9F">
      <w:pPr>
        <w:spacing w:line="360" w:lineRule="auto"/>
        <w:ind w:firstLine="480" w:firstLineChars="200"/>
        <w:rPr>
          <w:szCs w:val="24"/>
        </w:rPr>
      </w:pPr>
      <w:r>
        <w:rPr>
          <w:rFonts w:hint="eastAsia"/>
          <w:szCs w:val="24"/>
        </w:rPr>
        <w:t>本项目不收取磋商保证金。</w:t>
      </w:r>
    </w:p>
    <w:bookmarkEnd w:id="193"/>
    <w:bookmarkEnd w:id="194"/>
    <w:bookmarkEnd w:id="195"/>
    <w:p w14:paraId="2FF22854">
      <w:bookmarkStart w:id="200" w:name="_Toc217446064"/>
      <w:bookmarkStart w:id="201" w:name="_Toc24302"/>
      <w:bookmarkStart w:id="202" w:name="_Toc183582240"/>
      <w:bookmarkStart w:id="203" w:name="_Toc183682377"/>
    </w:p>
    <w:p w14:paraId="2479F53A">
      <w:pPr>
        <w:pStyle w:val="3"/>
        <w:spacing w:line="360" w:lineRule="auto"/>
        <w:rPr>
          <w:rFonts w:ascii="宋体" w:hAnsi="宋体" w:eastAsia="宋体" w:cs="宋体"/>
          <w:sz w:val="24"/>
          <w:szCs w:val="24"/>
        </w:rPr>
      </w:pPr>
      <w:bookmarkStart w:id="204" w:name="_Toc138167987"/>
      <w:bookmarkStart w:id="205" w:name="_Toc138167921"/>
      <w:bookmarkStart w:id="206" w:name="_Toc170477094"/>
      <w:bookmarkStart w:id="207" w:name="_Toc20"/>
      <w:r>
        <w:rPr>
          <w:rFonts w:hint="eastAsia" w:ascii="宋体" w:hAnsi="宋体" w:eastAsia="宋体" w:cs="宋体"/>
          <w:sz w:val="24"/>
          <w:szCs w:val="24"/>
        </w:rPr>
        <w:t>六、磋商</w:t>
      </w:r>
      <w:bookmarkEnd w:id="204"/>
      <w:bookmarkEnd w:id="205"/>
      <w:bookmarkEnd w:id="206"/>
      <w:bookmarkEnd w:id="207"/>
    </w:p>
    <w:p w14:paraId="4ABC2499">
      <w:pPr>
        <w:spacing w:line="360" w:lineRule="auto"/>
        <w:ind w:firstLine="480" w:firstLineChars="200"/>
        <w:rPr>
          <w:rFonts w:hAnsi="宋体" w:cs="宋体"/>
          <w:szCs w:val="24"/>
        </w:rPr>
      </w:pPr>
      <w:r>
        <w:rPr>
          <w:rFonts w:hint="eastAsia" w:hAnsi="宋体" w:cs="宋体"/>
          <w:szCs w:val="24"/>
        </w:rPr>
        <w:t>1、磋商会议在磋商文件规定的时间和地点公开进行，采购人、供应商须派代表（法定代表人或授权代理人）参加并签到以证明其出席。</w:t>
      </w:r>
    </w:p>
    <w:p w14:paraId="68D3C0AF">
      <w:pPr>
        <w:spacing w:line="360" w:lineRule="auto"/>
        <w:ind w:firstLine="480" w:firstLineChars="200"/>
        <w:rPr>
          <w:rFonts w:hAnsi="宋体" w:cs="宋体"/>
          <w:szCs w:val="24"/>
        </w:rPr>
      </w:pPr>
      <w:r>
        <w:rPr>
          <w:rFonts w:hint="eastAsia" w:hAnsi="宋体" w:cs="宋体"/>
          <w:szCs w:val="24"/>
        </w:rPr>
        <w:t>2、磋商会议时，磋商采购单位可能根据具体情况邀请有关监督管理部门对磋商活动进行现场监督。</w:t>
      </w:r>
    </w:p>
    <w:p w14:paraId="6710C970">
      <w:pPr>
        <w:spacing w:line="360" w:lineRule="auto"/>
        <w:ind w:firstLine="480" w:firstLineChars="200"/>
        <w:rPr>
          <w:rFonts w:hAnsi="宋体" w:cs="宋体"/>
          <w:szCs w:val="24"/>
        </w:rPr>
      </w:pPr>
      <w:r>
        <w:rPr>
          <w:rFonts w:hint="eastAsia" w:hAnsi="宋体" w:cs="宋体"/>
          <w:szCs w:val="24"/>
        </w:rPr>
        <w:t>3、磋商会主持人按照磋商文件规定的响应文件递交截止时间宣布会议开始，并主持磋商会。磋商将按以下程序进行：</w:t>
      </w:r>
    </w:p>
    <w:p w14:paraId="73294649">
      <w:pPr>
        <w:spacing w:line="360" w:lineRule="auto"/>
        <w:ind w:firstLine="480" w:firstLineChars="200"/>
        <w:rPr>
          <w:rFonts w:hAnsi="宋体" w:cs="宋体"/>
          <w:szCs w:val="24"/>
        </w:rPr>
      </w:pPr>
      <w:r>
        <w:rPr>
          <w:rFonts w:hint="eastAsia" w:hAnsi="宋体" w:cs="宋体"/>
          <w:szCs w:val="24"/>
        </w:rPr>
        <w:t>（1）宣布磋商会开始。当众宣布参加磋商会主持人、会议记录人以及根据情况邀请的现场监督人等工作人员，根据“供应商签到表”宣布参加竞磋的供应商名单。</w:t>
      </w:r>
    </w:p>
    <w:p w14:paraId="6300A5E4">
      <w:pPr>
        <w:spacing w:line="360" w:lineRule="auto"/>
        <w:ind w:firstLine="480" w:firstLineChars="200"/>
        <w:rPr>
          <w:rFonts w:hAnsi="宋体" w:cs="宋体"/>
          <w:szCs w:val="24"/>
        </w:rPr>
      </w:pPr>
      <w:r>
        <w:rPr>
          <w:rFonts w:hint="eastAsia" w:hAnsi="宋体" w:cs="宋体"/>
          <w:szCs w:val="24"/>
        </w:rPr>
        <w:t>（2）根据供应商代表对响应文件密封的检查结果，当众宣布响应文件的密封情况。</w:t>
      </w:r>
    </w:p>
    <w:p w14:paraId="16BF8F51">
      <w:pPr>
        <w:spacing w:line="360" w:lineRule="auto"/>
        <w:ind w:firstLine="480" w:firstLineChars="200"/>
        <w:rPr>
          <w:rFonts w:hAnsi="宋体" w:cs="宋体"/>
          <w:szCs w:val="24"/>
        </w:rPr>
      </w:pPr>
      <w:r>
        <w:rPr>
          <w:rFonts w:hint="eastAsia" w:hAnsi="宋体" w:cs="宋体"/>
          <w:szCs w:val="24"/>
        </w:rPr>
        <w:t>由供应商代表先检查其自己递交的响应文件的密封情况。供应商代表确认响应文件情况，仅限于确认其自己递交的响应文件的密封情况，不代表对其他供应商的响应文件的密封情况确认。供应商代表对其他供应商的响应文件密封情况有异议的，可以当场反映会议主持人或者现场监督人员，要求会议现场记录人员予以记录，并在评审时予以认定处理，但不得干扰、阻挠会议工作的正常进行。</w:t>
      </w:r>
    </w:p>
    <w:p w14:paraId="1251A62E">
      <w:pPr>
        <w:spacing w:line="360" w:lineRule="auto"/>
        <w:ind w:firstLine="480" w:firstLineChars="200"/>
        <w:rPr>
          <w:rFonts w:hAnsi="宋体" w:cs="宋体"/>
          <w:szCs w:val="24"/>
        </w:rPr>
      </w:pPr>
      <w:r>
        <w:rPr>
          <w:rFonts w:hint="eastAsia" w:hAnsi="宋体" w:cs="宋体"/>
          <w:szCs w:val="24"/>
        </w:rPr>
        <w:t>（3）介绍磋商程序。</w:t>
      </w:r>
    </w:p>
    <w:p w14:paraId="6ABB60B2">
      <w:pPr>
        <w:spacing w:line="360" w:lineRule="auto"/>
        <w:ind w:firstLine="480" w:firstLineChars="200"/>
        <w:rPr>
          <w:rFonts w:hAnsi="宋体" w:cs="宋体"/>
          <w:bCs/>
          <w:szCs w:val="24"/>
        </w:rPr>
      </w:pPr>
      <w:r>
        <w:rPr>
          <w:rFonts w:hint="eastAsia" w:hAnsi="宋体" w:cs="宋体"/>
          <w:szCs w:val="24"/>
        </w:rPr>
        <w:t>（4）宣布磋商会结束。主持人宣布磋商会结束。所有供应商代表应立即退场（磋商文件要求有演示、介绍等的除外）。同时所有供应商代表应保持通讯设备的畅通，以方便在评审过程中磋商小组要求供应商参与下一轮对响应文件的必要澄清、说明或者纠正。评审过程因需要涉及通知供应商代表的，均由磋商采购单位以电话通知的形式通知相关供应商代表，供应商代表需在接到电话通知后20分钟内赶到开标现场，供应商代表逾期未赶到磋商现场或因供应商代表通讯设备无法接通（经监督人员证实）的，磋商采购单位及磋商小组有权认定该供应商不予配合，主动放弃该权利的使用，其可能引发的后果由供应商自行承担。本项目评审结果由供应商在采购招标网自行查询。</w:t>
      </w:r>
    </w:p>
    <w:p w14:paraId="0D03FF3A">
      <w:bookmarkStart w:id="208" w:name="_Toc10172"/>
    </w:p>
    <w:p w14:paraId="516BCB37">
      <w:pPr>
        <w:pStyle w:val="3"/>
        <w:spacing w:line="360" w:lineRule="auto"/>
        <w:rPr>
          <w:rFonts w:ascii="宋体" w:hAnsi="宋体" w:eastAsia="宋体" w:cs="宋体"/>
          <w:sz w:val="24"/>
          <w:szCs w:val="24"/>
        </w:rPr>
      </w:pPr>
      <w:bookmarkStart w:id="209" w:name="_Toc19726"/>
      <w:bookmarkStart w:id="210" w:name="_Toc170477095"/>
      <w:bookmarkStart w:id="211" w:name="_Toc138167922"/>
      <w:bookmarkStart w:id="212" w:name="_Toc138167988"/>
      <w:r>
        <w:rPr>
          <w:rFonts w:hint="eastAsia" w:ascii="宋体" w:hAnsi="宋体" w:eastAsia="宋体" w:cs="宋体"/>
          <w:sz w:val="24"/>
          <w:szCs w:val="24"/>
        </w:rPr>
        <w:t>七、磋商过程存档</w:t>
      </w:r>
      <w:bookmarkEnd w:id="209"/>
      <w:bookmarkEnd w:id="210"/>
      <w:bookmarkEnd w:id="211"/>
      <w:bookmarkEnd w:id="212"/>
    </w:p>
    <w:p w14:paraId="5D817FD8">
      <w:pPr>
        <w:spacing w:line="360" w:lineRule="auto"/>
        <w:ind w:firstLine="420" w:firstLineChars="175"/>
        <w:rPr>
          <w:rFonts w:hAnsi="宋体" w:cs="宋体"/>
          <w:szCs w:val="24"/>
        </w:rPr>
      </w:pPr>
      <w:r>
        <w:rPr>
          <w:rFonts w:hint="eastAsia" w:hAnsi="宋体" w:cs="宋体"/>
          <w:szCs w:val="24"/>
        </w:rPr>
        <w:t>磋商和评审过程进行全过程电子监控，并将电子监控资料存储介质留存归档。</w:t>
      </w:r>
    </w:p>
    <w:p w14:paraId="1A3A9098"/>
    <w:p w14:paraId="70BB7A57">
      <w:pPr>
        <w:pStyle w:val="3"/>
        <w:spacing w:line="360" w:lineRule="auto"/>
        <w:rPr>
          <w:rFonts w:ascii="宋体" w:hAnsi="宋体" w:eastAsia="宋体" w:cs="宋体"/>
          <w:sz w:val="24"/>
          <w:szCs w:val="24"/>
        </w:rPr>
      </w:pPr>
      <w:bookmarkStart w:id="213" w:name="_Toc138167923"/>
      <w:bookmarkStart w:id="214" w:name="_Toc170477096"/>
      <w:bookmarkStart w:id="215" w:name="_Toc138167989"/>
      <w:bookmarkStart w:id="216" w:name="_Toc16603"/>
      <w:r>
        <w:rPr>
          <w:rFonts w:hint="eastAsia" w:ascii="宋体" w:hAnsi="宋体" w:eastAsia="宋体" w:cs="宋体"/>
          <w:sz w:val="24"/>
          <w:szCs w:val="24"/>
        </w:rPr>
        <w:t>八、磋商纪律要求</w:t>
      </w:r>
      <w:bookmarkEnd w:id="213"/>
      <w:bookmarkEnd w:id="214"/>
      <w:bookmarkEnd w:id="215"/>
      <w:bookmarkEnd w:id="216"/>
    </w:p>
    <w:p w14:paraId="7E39802E">
      <w:pPr>
        <w:pStyle w:val="4"/>
        <w:spacing w:before="0" w:after="0" w:line="360" w:lineRule="auto"/>
        <w:ind w:firstLine="482" w:firstLineChars="200"/>
        <w:rPr>
          <w:rFonts w:hAnsi="宋体" w:cs="宋体"/>
          <w:sz w:val="24"/>
          <w:szCs w:val="24"/>
        </w:rPr>
      </w:pPr>
      <w:bookmarkStart w:id="217" w:name="_Toc170477097"/>
      <w:bookmarkStart w:id="218" w:name="_Toc167440846"/>
      <w:bookmarkStart w:id="219" w:name="_Toc31735"/>
      <w:bookmarkStart w:id="220" w:name="_Toc23548"/>
      <w:bookmarkStart w:id="221" w:name="_Toc138167990"/>
      <w:r>
        <w:rPr>
          <w:rFonts w:hint="eastAsia" w:hAnsi="宋体" w:cs="宋体"/>
          <w:sz w:val="24"/>
          <w:szCs w:val="24"/>
        </w:rPr>
        <w:t>1、供应商不得具有的情形</w:t>
      </w:r>
      <w:bookmarkEnd w:id="217"/>
      <w:bookmarkEnd w:id="218"/>
      <w:bookmarkEnd w:id="219"/>
      <w:bookmarkEnd w:id="220"/>
      <w:bookmarkEnd w:id="221"/>
    </w:p>
    <w:p w14:paraId="1748D2D1">
      <w:pPr>
        <w:pStyle w:val="5"/>
        <w:adjustRightInd w:val="0"/>
        <w:spacing w:line="360" w:lineRule="auto"/>
        <w:ind w:firstLine="512"/>
        <w:rPr>
          <w:rFonts w:hAnsi="宋体" w:cs="宋体"/>
          <w:spacing w:val="8"/>
          <w:sz w:val="24"/>
        </w:rPr>
      </w:pPr>
      <w:r>
        <w:rPr>
          <w:rFonts w:hint="eastAsia" w:hAnsi="宋体" w:cs="宋体"/>
          <w:spacing w:val="8"/>
          <w:sz w:val="24"/>
        </w:rPr>
        <w:t>供应商参加采购活动不得有下列情形：</w:t>
      </w:r>
    </w:p>
    <w:p w14:paraId="173E3C35">
      <w:pPr>
        <w:adjustRightInd w:val="0"/>
        <w:spacing w:line="360" w:lineRule="auto"/>
        <w:ind w:firstLine="384" w:firstLineChars="150"/>
        <w:rPr>
          <w:rFonts w:hAnsi="宋体" w:cs="宋体"/>
          <w:spacing w:val="8"/>
        </w:rPr>
      </w:pPr>
      <w:r>
        <w:rPr>
          <w:rFonts w:hint="eastAsia" w:hAnsi="宋体" w:cs="宋体"/>
          <w:spacing w:val="8"/>
        </w:rPr>
        <w:t>（1）提供虚假材料谋取成交；</w:t>
      </w:r>
    </w:p>
    <w:p w14:paraId="14D2964D">
      <w:pPr>
        <w:adjustRightInd w:val="0"/>
        <w:spacing w:line="360" w:lineRule="auto"/>
        <w:ind w:firstLine="384" w:firstLineChars="150"/>
        <w:rPr>
          <w:rFonts w:hAnsi="宋体" w:cs="宋体"/>
          <w:spacing w:val="8"/>
        </w:rPr>
      </w:pPr>
      <w:r>
        <w:rPr>
          <w:rFonts w:hint="eastAsia" w:hAnsi="宋体" w:cs="宋体"/>
          <w:spacing w:val="8"/>
        </w:rPr>
        <w:t>（2）采取不正当手段诋毁、排挤其他供应商；</w:t>
      </w:r>
    </w:p>
    <w:p w14:paraId="07F31EBA">
      <w:pPr>
        <w:adjustRightInd w:val="0"/>
        <w:spacing w:line="360" w:lineRule="auto"/>
        <w:ind w:firstLine="384" w:firstLineChars="150"/>
        <w:rPr>
          <w:rFonts w:hAnsi="宋体" w:cs="宋体"/>
          <w:spacing w:val="8"/>
        </w:rPr>
      </w:pPr>
      <w:r>
        <w:rPr>
          <w:rFonts w:hint="eastAsia" w:hAnsi="宋体" w:cs="宋体"/>
          <w:spacing w:val="8"/>
        </w:rPr>
        <w:t>（3）与磋商采购单位、其他供应商恶意串通；</w:t>
      </w:r>
    </w:p>
    <w:p w14:paraId="3CBF6E84">
      <w:pPr>
        <w:adjustRightInd w:val="0"/>
        <w:spacing w:line="360" w:lineRule="auto"/>
        <w:ind w:firstLine="384" w:firstLineChars="150"/>
        <w:rPr>
          <w:rFonts w:hAnsi="宋体" w:cs="宋体"/>
          <w:spacing w:val="8"/>
        </w:rPr>
      </w:pPr>
      <w:r>
        <w:rPr>
          <w:rFonts w:hint="eastAsia" w:hAnsi="宋体" w:cs="宋体"/>
          <w:spacing w:val="8"/>
        </w:rPr>
        <w:t>（4）向磋商采购单位、磋商小组成员行贿或者提供其他不正当利益；</w:t>
      </w:r>
    </w:p>
    <w:p w14:paraId="5A57D17A">
      <w:pPr>
        <w:adjustRightInd w:val="0"/>
        <w:spacing w:line="360" w:lineRule="auto"/>
        <w:ind w:firstLine="384" w:firstLineChars="150"/>
        <w:rPr>
          <w:rFonts w:hAnsi="宋体" w:cs="宋体"/>
          <w:spacing w:val="8"/>
        </w:rPr>
      </w:pPr>
      <w:r>
        <w:rPr>
          <w:rFonts w:hint="eastAsia" w:hAnsi="宋体" w:cs="宋体"/>
          <w:spacing w:val="8"/>
        </w:rPr>
        <w:t>（5）在采购过程中与磋商采购单位私下进行协商磋商；</w:t>
      </w:r>
    </w:p>
    <w:p w14:paraId="3CC41DBA">
      <w:pPr>
        <w:adjustRightInd w:val="0"/>
        <w:spacing w:line="360" w:lineRule="auto"/>
        <w:ind w:firstLine="384" w:firstLineChars="150"/>
        <w:rPr>
          <w:rFonts w:hAnsi="宋体" w:cs="宋体"/>
          <w:spacing w:val="8"/>
        </w:rPr>
      </w:pPr>
      <w:r>
        <w:rPr>
          <w:rFonts w:hint="eastAsia" w:hAnsi="宋体" w:cs="宋体"/>
          <w:spacing w:val="8"/>
        </w:rPr>
        <w:t>（6）拒绝有关部门的监督检查或者向监督检查部门提供虚假情况。</w:t>
      </w:r>
    </w:p>
    <w:p w14:paraId="02EE0667">
      <w:pPr>
        <w:pStyle w:val="5"/>
        <w:adjustRightInd w:val="0"/>
        <w:spacing w:line="360" w:lineRule="auto"/>
        <w:ind w:firstLine="512"/>
        <w:rPr>
          <w:rFonts w:hAnsi="宋体" w:cs="宋体"/>
          <w:spacing w:val="8"/>
          <w:sz w:val="24"/>
        </w:rPr>
      </w:pPr>
      <w:r>
        <w:rPr>
          <w:rFonts w:hint="eastAsia" w:hAnsi="宋体" w:cs="宋体"/>
          <w:spacing w:val="8"/>
          <w:sz w:val="24"/>
        </w:rPr>
        <w:t>有(1)-(5)项情形之一的供应商，成交无效。</w:t>
      </w:r>
    </w:p>
    <w:p w14:paraId="70360B98">
      <w:pPr>
        <w:pStyle w:val="4"/>
        <w:spacing w:before="0" w:after="0" w:line="360" w:lineRule="auto"/>
        <w:ind w:firstLine="482" w:firstLineChars="200"/>
        <w:rPr>
          <w:rFonts w:hAnsi="宋体" w:cs="宋体"/>
          <w:sz w:val="24"/>
          <w:szCs w:val="24"/>
        </w:rPr>
      </w:pPr>
      <w:bookmarkStart w:id="222" w:name="_Toc138167991"/>
      <w:bookmarkStart w:id="223" w:name="_Toc21664"/>
      <w:bookmarkStart w:id="224" w:name="_Toc167440847"/>
      <w:bookmarkStart w:id="225" w:name="_Toc170477098"/>
      <w:bookmarkStart w:id="226" w:name="_Toc21261"/>
      <w:r>
        <w:rPr>
          <w:rFonts w:hint="eastAsia" w:hAnsi="宋体" w:cs="宋体"/>
          <w:sz w:val="24"/>
          <w:szCs w:val="24"/>
        </w:rPr>
        <w:t>2、供应商失信行为及处理</w:t>
      </w:r>
      <w:bookmarkEnd w:id="222"/>
      <w:bookmarkEnd w:id="223"/>
      <w:bookmarkEnd w:id="224"/>
      <w:bookmarkEnd w:id="225"/>
      <w:bookmarkEnd w:id="226"/>
    </w:p>
    <w:p w14:paraId="5AF0C4A9">
      <w:pPr>
        <w:spacing w:line="360" w:lineRule="auto"/>
        <w:ind w:firstLine="480" w:firstLineChars="200"/>
        <w:rPr>
          <w:rFonts w:hAnsi="宋体" w:cs="宋体"/>
        </w:rPr>
      </w:pPr>
      <w:r>
        <w:rPr>
          <w:rFonts w:hint="eastAsia" w:hAnsi="宋体" w:cs="宋体"/>
        </w:rPr>
        <w:t>供应商在采购活动中有下列情形之一的，按失信行为记入诚信档案：</w:t>
      </w:r>
    </w:p>
    <w:p w14:paraId="431EF499">
      <w:pPr>
        <w:spacing w:line="360" w:lineRule="auto"/>
        <w:ind w:firstLine="240" w:firstLineChars="100"/>
        <w:rPr>
          <w:rFonts w:hAnsi="宋体" w:cs="宋体"/>
        </w:rPr>
      </w:pPr>
      <w:r>
        <w:rPr>
          <w:rFonts w:hint="eastAsia" w:hAnsi="宋体" w:cs="宋体"/>
        </w:rPr>
        <w:t>（1）提供虚假材料谋取成交的；</w:t>
      </w:r>
    </w:p>
    <w:p w14:paraId="3CA7BA70">
      <w:pPr>
        <w:spacing w:line="360" w:lineRule="auto"/>
        <w:ind w:firstLine="240" w:firstLineChars="100"/>
        <w:rPr>
          <w:rFonts w:hAnsi="宋体" w:cs="宋体"/>
        </w:rPr>
      </w:pPr>
      <w:r>
        <w:rPr>
          <w:rFonts w:hint="eastAsia" w:hAnsi="宋体" w:cs="宋体"/>
        </w:rPr>
        <w:t>（2）采取不正当手段诋毁、排挤其他供应商的；</w:t>
      </w:r>
    </w:p>
    <w:p w14:paraId="79258240">
      <w:pPr>
        <w:spacing w:line="360" w:lineRule="auto"/>
        <w:ind w:firstLine="240" w:firstLineChars="100"/>
        <w:rPr>
          <w:rFonts w:hAnsi="宋体" w:cs="宋体"/>
        </w:rPr>
      </w:pPr>
      <w:r>
        <w:rPr>
          <w:rFonts w:hint="eastAsia" w:hAnsi="宋体" w:cs="宋体"/>
        </w:rPr>
        <w:t>（3）与采购人、采购代理机构、磋商小组成员或其他供应商恶意串通的；</w:t>
      </w:r>
    </w:p>
    <w:p w14:paraId="29A25F12">
      <w:pPr>
        <w:spacing w:line="360" w:lineRule="auto"/>
        <w:ind w:firstLine="240" w:firstLineChars="100"/>
        <w:rPr>
          <w:rFonts w:hAnsi="宋体" w:cs="宋体"/>
        </w:rPr>
      </w:pPr>
      <w:r>
        <w:rPr>
          <w:rFonts w:hint="eastAsia" w:hAnsi="宋体" w:cs="宋体"/>
        </w:rPr>
        <w:t>（4）不遵守磋商、评审现场工作纪律，扰乱或者委托其他人扰乱磋商、评审现场秩序的；</w:t>
      </w:r>
    </w:p>
    <w:p w14:paraId="14261BF0">
      <w:pPr>
        <w:spacing w:line="360" w:lineRule="auto"/>
        <w:ind w:firstLine="240" w:firstLineChars="100"/>
        <w:rPr>
          <w:rFonts w:hAnsi="宋体" w:cs="宋体"/>
        </w:rPr>
      </w:pPr>
      <w:r>
        <w:rPr>
          <w:rFonts w:hint="eastAsia" w:hAnsi="宋体" w:cs="宋体"/>
        </w:rPr>
        <w:t>（5）向采购人、采购人代理机构及其工作人员，磋商小组成员或者竞争性磋商采购相关专业人员行贿或者提供其他不正当利益的；</w:t>
      </w:r>
    </w:p>
    <w:p w14:paraId="141B8420">
      <w:pPr>
        <w:spacing w:line="360" w:lineRule="auto"/>
        <w:ind w:firstLine="240" w:firstLineChars="100"/>
        <w:rPr>
          <w:rFonts w:hAnsi="宋体" w:cs="宋体"/>
        </w:rPr>
      </w:pPr>
      <w:r>
        <w:rPr>
          <w:rFonts w:hint="eastAsia" w:hAnsi="宋体" w:cs="宋体"/>
        </w:rPr>
        <w:t>（6）无正当理由放弃成交候选人资格的，或者放弃成交的，或者成交后不与采购人签订采购合同的；</w:t>
      </w:r>
    </w:p>
    <w:p w14:paraId="08642C79">
      <w:pPr>
        <w:spacing w:line="360" w:lineRule="auto"/>
        <w:ind w:firstLine="240" w:firstLineChars="100"/>
        <w:rPr>
          <w:rFonts w:hAnsi="宋体" w:cs="宋体"/>
        </w:rPr>
      </w:pPr>
      <w:r>
        <w:rPr>
          <w:rFonts w:hint="eastAsia" w:hAnsi="宋体" w:cs="宋体"/>
        </w:rPr>
        <w:t>（7）在采购过程中与采购人进行协商磋商的，或者不按照竞争性磋商文件和成交供应商的磋商、响应文件订立合同的，或者与采购人另行订立背离合同实质性内容的协议的；</w:t>
      </w:r>
    </w:p>
    <w:p w14:paraId="39189C16">
      <w:pPr>
        <w:spacing w:line="360" w:lineRule="auto"/>
        <w:ind w:firstLine="240" w:firstLineChars="100"/>
        <w:rPr>
          <w:rFonts w:hAnsi="宋体" w:cs="宋体"/>
        </w:rPr>
      </w:pPr>
      <w:r>
        <w:rPr>
          <w:rFonts w:hint="eastAsia" w:hAnsi="宋体" w:cs="宋体"/>
        </w:rPr>
        <w:t>（8）将成交项目转包给他人或者违规分包给他人的；</w:t>
      </w:r>
    </w:p>
    <w:p w14:paraId="4FC9D802">
      <w:pPr>
        <w:spacing w:line="360" w:lineRule="auto"/>
        <w:ind w:firstLine="240" w:firstLineChars="100"/>
        <w:rPr>
          <w:rFonts w:hAnsi="宋体" w:cs="宋体"/>
        </w:rPr>
      </w:pPr>
      <w:r>
        <w:rPr>
          <w:rFonts w:hint="eastAsia" w:hAnsi="宋体" w:cs="宋体"/>
        </w:rPr>
        <w:t>（9）拒绝或者不按照约定履行采购合同的，或者擅自变更、中止或者终止采购合同的；</w:t>
      </w:r>
    </w:p>
    <w:p w14:paraId="2972A453">
      <w:pPr>
        <w:spacing w:line="360" w:lineRule="auto"/>
        <w:ind w:firstLine="240" w:firstLineChars="100"/>
        <w:rPr>
          <w:rFonts w:hAnsi="宋体" w:cs="宋体"/>
        </w:rPr>
      </w:pPr>
      <w:r>
        <w:rPr>
          <w:rFonts w:hint="eastAsia" w:hAnsi="宋体" w:cs="宋体"/>
        </w:rPr>
        <w:t>（10）捏造事实或者提供虚假材料投诉或者以非法手段取得证明材料进行质疑、投诉的；</w:t>
      </w:r>
    </w:p>
    <w:p w14:paraId="4BD059C8">
      <w:pPr>
        <w:spacing w:line="360" w:lineRule="auto"/>
        <w:ind w:firstLine="240" w:firstLineChars="100"/>
        <w:rPr>
          <w:rFonts w:hAnsi="宋体" w:cs="宋体"/>
        </w:rPr>
      </w:pPr>
      <w:r>
        <w:rPr>
          <w:rFonts w:hint="eastAsia" w:hAnsi="宋体" w:cs="宋体"/>
        </w:rPr>
        <w:t>（11）借维权之名获取非法利益、不当得利并经查证属实的；</w:t>
      </w:r>
    </w:p>
    <w:p w14:paraId="49966E12">
      <w:pPr>
        <w:spacing w:line="360" w:lineRule="auto"/>
        <w:ind w:firstLine="240" w:firstLineChars="100"/>
        <w:rPr>
          <w:rFonts w:hAnsi="宋体" w:cs="宋体"/>
        </w:rPr>
      </w:pPr>
      <w:r>
        <w:rPr>
          <w:rFonts w:hint="eastAsia" w:hAnsi="宋体" w:cs="宋体"/>
        </w:rPr>
        <w:t>（12）在相关部门投诉、举报处理过程中隐瞒采购项目相关情况的；</w:t>
      </w:r>
    </w:p>
    <w:p w14:paraId="3D5AF522">
      <w:pPr>
        <w:spacing w:line="360" w:lineRule="auto"/>
        <w:ind w:firstLine="240" w:firstLineChars="100"/>
        <w:rPr>
          <w:rFonts w:hAnsi="宋体" w:cs="宋体"/>
        </w:rPr>
      </w:pPr>
      <w:r>
        <w:rPr>
          <w:rFonts w:hint="eastAsia" w:hAnsi="宋体" w:cs="宋体"/>
        </w:rPr>
        <w:t>（13）拒绝有关部门监督检查或者在监督检查过程中提供虚假情况的；</w:t>
      </w:r>
    </w:p>
    <w:p w14:paraId="2E4F98A5">
      <w:pPr>
        <w:spacing w:line="360" w:lineRule="auto"/>
        <w:ind w:firstLine="240" w:firstLineChars="100"/>
        <w:rPr>
          <w:rFonts w:hAnsi="宋体" w:cs="宋体"/>
        </w:rPr>
      </w:pPr>
      <w:r>
        <w:rPr>
          <w:rFonts w:hint="eastAsia" w:hAnsi="宋体" w:cs="宋体"/>
        </w:rPr>
        <w:t>（14）提供假冒伪劣产品；</w:t>
      </w:r>
    </w:p>
    <w:p w14:paraId="7855438B">
      <w:pPr>
        <w:spacing w:line="360" w:lineRule="auto"/>
        <w:ind w:firstLine="240" w:firstLineChars="100"/>
        <w:rPr>
          <w:rFonts w:hAnsi="宋体" w:cs="宋体"/>
        </w:rPr>
      </w:pPr>
      <w:r>
        <w:rPr>
          <w:rFonts w:hint="eastAsia" w:hAnsi="宋体" w:cs="宋体"/>
        </w:rPr>
        <w:t>（15）工商部门、税务部门、审判机关及其他有关部门单位认定的失信行为；</w:t>
      </w:r>
    </w:p>
    <w:p w14:paraId="137ACDB8">
      <w:pPr>
        <w:spacing w:line="360" w:lineRule="auto"/>
        <w:ind w:firstLine="240" w:firstLineChars="100"/>
        <w:rPr>
          <w:rFonts w:hAnsi="宋体" w:cs="宋体"/>
        </w:rPr>
      </w:pPr>
      <w:r>
        <w:rPr>
          <w:rFonts w:hint="eastAsia" w:hAnsi="宋体" w:cs="宋体"/>
        </w:rPr>
        <w:t>（16）其他法律法规规定的失信行为。</w:t>
      </w:r>
    </w:p>
    <w:p w14:paraId="244BA3AC">
      <w:pPr>
        <w:spacing w:line="360" w:lineRule="auto"/>
        <w:ind w:firstLine="480" w:firstLineChars="200"/>
        <w:rPr>
          <w:rFonts w:hAnsi="宋体" w:cs="宋体"/>
        </w:rPr>
      </w:pPr>
      <w:r>
        <w:rPr>
          <w:rFonts w:hint="eastAsia" w:hAnsi="宋体" w:cs="宋体"/>
        </w:rPr>
        <w:t>以上属于磋商或成交无效情形的，按磋商或成交无效处理；属于违法情形的，依法予以处理。</w:t>
      </w:r>
    </w:p>
    <w:p w14:paraId="0F1A2830">
      <w:pPr>
        <w:pStyle w:val="4"/>
        <w:spacing w:before="0" w:after="0" w:line="360" w:lineRule="auto"/>
        <w:ind w:firstLine="482" w:firstLineChars="200"/>
        <w:rPr>
          <w:rFonts w:hAnsi="宋体" w:cs="宋体"/>
          <w:sz w:val="24"/>
          <w:szCs w:val="24"/>
        </w:rPr>
      </w:pPr>
      <w:bookmarkStart w:id="227" w:name="_Toc170477099"/>
      <w:bookmarkStart w:id="228" w:name="_Toc4285"/>
      <w:bookmarkStart w:id="229" w:name="_Toc8060"/>
      <w:bookmarkStart w:id="230" w:name="_Toc167440848"/>
      <w:bookmarkStart w:id="231" w:name="_Toc138167992"/>
      <w:r>
        <w:rPr>
          <w:rFonts w:hint="eastAsia" w:hAnsi="宋体" w:cs="宋体"/>
          <w:sz w:val="24"/>
          <w:szCs w:val="24"/>
        </w:rPr>
        <w:t>3、供应商违法行为及处理</w:t>
      </w:r>
      <w:bookmarkEnd w:id="227"/>
      <w:bookmarkEnd w:id="228"/>
      <w:bookmarkEnd w:id="229"/>
      <w:bookmarkEnd w:id="230"/>
      <w:bookmarkEnd w:id="231"/>
    </w:p>
    <w:p w14:paraId="6436A108">
      <w:pPr>
        <w:spacing w:line="360" w:lineRule="auto"/>
        <w:ind w:firstLine="512" w:firstLineChars="200"/>
        <w:rPr>
          <w:rFonts w:hAnsi="宋体" w:cs="宋体"/>
          <w:spacing w:val="8"/>
        </w:rPr>
      </w:pPr>
      <w:r>
        <w:rPr>
          <w:rFonts w:hint="eastAsia" w:hAnsi="宋体" w:cs="宋体"/>
          <w:spacing w:val="8"/>
        </w:rPr>
        <w:t>参照《中华人民共和国政府采购法》、《中华人民共和国政府采购法实施条例》、《中华人民共和国民法典》等法律法规规定处理。</w:t>
      </w:r>
    </w:p>
    <w:p w14:paraId="59FB04A5"/>
    <w:p w14:paraId="404B7695">
      <w:pPr>
        <w:pStyle w:val="3"/>
        <w:spacing w:line="360" w:lineRule="auto"/>
        <w:rPr>
          <w:rFonts w:ascii="宋体" w:hAnsi="宋体" w:eastAsia="宋体" w:cs="宋体"/>
          <w:sz w:val="24"/>
          <w:szCs w:val="24"/>
        </w:rPr>
      </w:pPr>
      <w:bookmarkStart w:id="232" w:name="_Toc14912"/>
      <w:bookmarkStart w:id="233" w:name="_Toc170477100"/>
      <w:bookmarkStart w:id="234" w:name="_Toc138167924"/>
      <w:bookmarkStart w:id="235" w:name="_Toc138167993"/>
      <w:r>
        <w:rPr>
          <w:rFonts w:hint="eastAsia" w:ascii="宋体" w:hAnsi="宋体" w:eastAsia="宋体" w:cs="宋体"/>
          <w:sz w:val="24"/>
          <w:szCs w:val="24"/>
        </w:rPr>
        <w:t>九、确认成交及发放通知书</w:t>
      </w:r>
      <w:bookmarkEnd w:id="232"/>
      <w:bookmarkEnd w:id="233"/>
      <w:bookmarkEnd w:id="234"/>
      <w:bookmarkEnd w:id="235"/>
    </w:p>
    <w:p w14:paraId="2561A3BF">
      <w:pPr>
        <w:pStyle w:val="4"/>
        <w:spacing w:before="0" w:after="0" w:line="360" w:lineRule="auto"/>
        <w:ind w:firstLine="482" w:firstLineChars="200"/>
        <w:rPr>
          <w:rFonts w:hAnsi="宋体" w:cs="宋体"/>
          <w:b w:val="0"/>
          <w:bCs w:val="0"/>
          <w:spacing w:val="8"/>
          <w:sz w:val="24"/>
          <w:szCs w:val="24"/>
        </w:rPr>
      </w:pPr>
      <w:bookmarkStart w:id="236" w:name="_Toc21421"/>
      <w:bookmarkStart w:id="237" w:name="_Toc170477101"/>
      <w:bookmarkStart w:id="238" w:name="_Toc138167994"/>
      <w:bookmarkStart w:id="239" w:name="_Toc26866"/>
      <w:bookmarkStart w:id="240" w:name="_Toc167440850"/>
      <w:r>
        <w:rPr>
          <w:rFonts w:hint="eastAsia" w:hAnsi="宋体" w:cs="宋体"/>
          <w:sz w:val="24"/>
          <w:szCs w:val="24"/>
        </w:rPr>
        <w:t>1、成交供应商的确定</w:t>
      </w:r>
      <w:bookmarkEnd w:id="236"/>
      <w:bookmarkEnd w:id="237"/>
      <w:bookmarkEnd w:id="238"/>
      <w:bookmarkEnd w:id="239"/>
      <w:bookmarkEnd w:id="240"/>
    </w:p>
    <w:p w14:paraId="6A962B8B">
      <w:pPr>
        <w:adjustRightInd w:val="0"/>
        <w:spacing w:line="360" w:lineRule="auto"/>
        <w:ind w:firstLine="512" w:firstLineChars="200"/>
        <w:rPr>
          <w:rFonts w:hAnsi="宋体" w:cs="宋体"/>
          <w:bCs/>
          <w:spacing w:val="8"/>
        </w:rPr>
      </w:pPr>
      <w:r>
        <w:rPr>
          <w:rFonts w:hint="eastAsia" w:hAnsi="宋体" w:cs="宋体"/>
          <w:bCs/>
          <w:spacing w:val="8"/>
        </w:rPr>
        <w:t>（1）磋商小组对通过资格性检查和经磋商后的有效响应文件，根据成交标准确定成交供应商。</w:t>
      </w:r>
    </w:p>
    <w:p w14:paraId="2CFCC6B9">
      <w:pPr>
        <w:adjustRightInd w:val="0"/>
        <w:spacing w:line="360" w:lineRule="auto"/>
        <w:ind w:firstLine="512" w:firstLineChars="200"/>
        <w:rPr>
          <w:rFonts w:hAnsi="宋体" w:cs="宋体"/>
          <w:bCs/>
          <w:spacing w:val="8"/>
        </w:rPr>
      </w:pPr>
      <w:r>
        <w:rPr>
          <w:rFonts w:hint="eastAsia" w:hAnsi="宋体" w:cs="宋体"/>
          <w:bCs/>
          <w:spacing w:val="8"/>
        </w:rPr>
        <w:t>（2）采购代理机构将评审结果通知所有参加磋商的未成交供应商，并在本项目指定相关网站上以公告形式发布成交公告。</w:t>
      </w:r>
    </w:p>
    <w:p w14:paraId="19A2270A">
      <w:pPr>
        <w:pStyle w:val="4"/>
        <w:spacing w:before="0" w:after="0" w:line="360" w:lineRule="auto"/>
        <w:ind w:firstLine="482" w:firstLineChars="200"/>
        <w:rPr>
          <w:rFonts w:hAnsi="宋体" w:cs="宋体"/>
          <w:b w:val="0"/>
          <w:bCs w:val="0"/>
          <w:spacing w:val="8"/>
          <w:sz w:val="24"/>
          <w:szCs w:val="24"/>
        </w:rPr>
      </w:pPr>
      <w:bookmarkStart w:id="241" w:name="_Toc26780"/>
      <w:bookmarkStart w:id="242" w:name="_Toc138167995"/>
      <w:bookmarkStart w:id="243" w:name="_Toc167440851"/>
      <w:bookmarkStart w:id="244" w:name="_Toc19575"/>
      <w:bookmarkStart w:id="245" w:name="_Toc170477102"/>
      <w:r>
        <w:rPr>
          <w:rFonts w:hint="eastAsia" w:hAnsi="宋体" w:cs="宋体"/>
          <w:sz w:val="24"/>
          <w:szCs w:val="24"/>
        </w:rPr>
        <w:t>2、成交通知书</w:t>
      </w:r>
      <w:bookmarkEnd w:id="241"/>
      <w:bookmarkEnd w:id="242"/>
      <w:bookmarkEnd w:id="243"/>
      <w:bookmarkEnd w:id="244"/>
      <w:bookmarkEnd w:id="245"/>
    </w:p>
    <w:p w14:paraId="4A3A4FE2">
      <w:pPr>
        <w:tabs>
          <w:tab w:val="left" w:pos="7665"/>
        </w:tabs>
        <w:spacing w:line="360" w:lineRule="auto"/>
        <w:ind w:firstLine="480" w:firstLineChars="200"/>
        <w:rPr>
          <w:rFonts w:hAnsi="宋体" w:cs="宋体"/>
        </w:rPr>
      </w:pPr>
      <w:r>
        <w:rPr>
          <w:rFonts w:hint="eastAsia" w:hAnsi="宋体" w:cs="宋体"/>
        </w:rPr>
        <w:t>（1）在公告成交结果的同时，向成交供应商发出成交通知书；对未通过资格审查的供应商，告知其未通过的原因；采用综合评分法评审的，告知未成交人本人的评审得分与排序。</w:t>
      </w:r>
    </w:p>
    <w:p w14:paraId="1B1E0796">
      <w:pPr>
        <w:tabs>
          <w:tab w:val="left" w:pos="7665"/>
        </w:tabs>
        <w:spacing w:line="360" w:lineRule="auto"/>
        <w:ind w:firstLine="480" w:firstLineChars="200"/>
        <w:rPr>
          <w:rFonts w:hAnsi="宋体" w:cs="宋体"/>
          <w:bCs/>
          <w:spacing w:val="8"/>
        </w:rPr>
      </w:pPr>
      <w:r>
        <w:rPr>
          <w:rFonts w:hint="eastAsia" w:hAnsi="宋体" w:cs="宋体"/>
        </w:rPr>
        <w:t>（2）成交通知书为签订采购合同的依据，是合同的有效组成部分。成交供应商应在接到采购代理机构通知后2个工作日内领取</w:t>
      </w:r>
      <w:r>
        <w:rPr>
          <w:rFonts w:hint="eastAsia" w:hAnsi="宋体" w:cs="宋体"/>
          <w:bCs/>
          <w:spacing w:val="8"/>
        </w:rPr>
        <w:t>成交通知书</w:t>
      </w:r>
      <w:r>
        <w:rPr>
          <w:rFonts w:hint="eastAsia" w:hAnsi="宋体" w:cs="宋体"/>
        </w:rPr>
        <w:t>。</w:t>
      </w:r>
      <w:r>
        <w:rPr>
          <w:rFonts w:hint="eastAsia" w:hAnsi="宋体" w:cs="宋体"/>
          <w:bCs/>
          <w:spacing w:val="8"/>
        </w:rPr>
        <w:t>未按要求领取的供应商视为放弃成交，给予不良行为记录、一定时期禁入等相关处理。</w:t>
      </w:r>
    </w:p>
    <w:p w14:paraId="54FDC1C6">
      <w:pPr>
        <w:tabs>
          <w:tab w:val="left" w:pos="7665"/>
        </w:tabs>
        <w:spacing w:line="360" w:lineRule="auto"/>
        <w:ind w:firstLine="480" w:firstLineChars="200"/>
        <w:rPr>
          <w:rFonts w:hAnsi="宋体" w:cs="宋体"/>
        </w:rPr>
      </w:pPr>
      <w:r>
        <w:rPr>
          <w:rFonts w:hint="eastAsia" w:hAnsi="宋体" w:cs="宋体"/>
        </w:rPr>
        <w:t>（3）成交通知书对采购人和成交供应商均具有法律效力。成交通知书发出后，采购人改变成交结果，或者成交供应商无正当理由放弃成交的，应当承担相应的法律责任。</w:t>
      </w:r>
    </w:p>
    <w:p w14:paraId="6724D178">
      <w:pPr>
        <w:tabs>
          <w:tab w:val="left" w:pos="7665"/>
        </w:tabs>
        <w:spacing w:line="360" w:lineRule="auto"/>
        <w:ind w:firstLine="480" w:firstLineChars="200"/>
        <w:rPr>
          <w:rFonts w:hAnsi="宋体" w:cs="宋体"/>
        </w:rPr>
      </w:pPr>
      <w:r>
        <w:rPr>
          <w:rFonts w:hint="eastAsia" w:hAnsi="宋体" w:cs="宋体"/>
        </w:rPr>
        <w:t>（4）成交供应商的响应文件应作为无效磋商处理或者有采购法律法规规章制度规定的成交无效情形的，采购代理机构在取得有权主体的认定以后，应当宣布发出的成交通知书无效，并收回发出的成交通知书（成交供应商也应当缴回），依法重新确定成交供应商或者重新开展采购活动。</w:t>
      </w:r>
    </w:p>
    <w:p w14:paraId="32D12742">
      <w:pPr>
        <w:pStyle w:val="3"/>
        <w:spacing w:line="360" w:lineRule="auto"/>
        <w:rPr>
          <w:rFonts w:ascii="宋体" w:hAnsi="宋体" w:eastAsia="宋体" w:cs="宋体"/>
          <w:sz w:val="24"/>
          <w:szCs w:val="24"/>
        </w:rPr>
      </w:pPr>
      <w:bookmarkStart w:id="246" w:name="_Toc138167996"/>
      <w:bookmarkStart w:id="247" w:name="_Toc138167925"/>
      <w:bookmarkStart w:id="248" w:name="_Toc170477103"/>
      <w:bookmarkStart w:id="249" w:name="_Toc15895"/>
      <w:r>
        <w:rPr>
          <w:rFonts w:hint="eastAsia" w:ascii="宋体" w:hAnsi="宋体" w:eastAsia="宋体" w:cs="宋体"/>
          <w:sz w:val="24"/>
          <w:szCs w:val="24"/>
        </w:rPr>
        <w:t>十、签订及履行合同和验收</w:t>
      </w:r>
      <w:bookmarkEnd w:id="200"/>
      <w:bookmarkEnd w:id="201"/>
      <w:bookmarkEnd w:id="208"/>
      <w:bookmarkEnd w:id="246"/>
      <w:bookmarkEnd w:id="247"/>
      <w:bookmarkEnd w:id="248"/>
      <w:bookmarkEnd w:id="249"/>
    </w:p>
    <w:p w14:paraId="47480BD5">
      <w:pPr>
        <w:spacing w:line="360" w:lineRule="auto"/>
        <w:ind w:firstLine="422" w:firstLineChars="175"/>
        <w:outlineLvl w:val="2"/>
        <w:rPr>
          <w:rFonts w:hAnsi="宋体" w:cs="宋体"/>
          <w:b/>
          <w:bCs/>
          <w:szCs w:val="24"/>
        </w:rPr>
      </w:pPr>
      <w:bookmarkStart w:id="250" w:name="_Toc138167997"/>
      <w:bookmarkStart w:id="251" w:name="_Toc217446065"/>
      <w:bookmarkStart w:id="252" w:name="_Toc170477104"/>
      <w:bookmarkStart w:id="253" w:name="_Toc167440853"/>
      <w:bookmarkStart w:id="254" w:name="_Toc16035"/>
      <w:bookmarkStart w:id="255" w:name="_Toc5041"/>
      <w:r>
        <w:rPr>
          <w:rFonts w:hint="eastAsia" w:hAnsi="宋体" w:cs="宋体"/>
          <w:b/>
          <w:bCs/>
          <w:szCs w:val="24"/>
        </w:rPr>
        <w:t>1、签订合同</w:t>
      </w:r>
      <w:bookmarkEnd w:id="250"/>
      <w:bookmarkEnd w:id="251"/>
      <w:bookmarkEnd w:id="252"/>
      <w:bookmarkEnd w:id="253"/>
      <w:bookmarkEnd w:id="254"/>
      <w:bookmarkEnd w:id="255"/>
    </w:p>
    <w:p w14:paraId="609CC4A6">
      <w:pPr>
        <w:spacing w:line="360" w:lineRule="auto"/>
        <w:ind w:firstLine="420" w:firstLineChars="175"/>
        <w:rPr>
          <w:rFonts w:hAnsi="宋体" w:cs="宋体"/>
          <w:szCs w:val="24"/>
        </w:rPr>
      </w:pPr>
      <w:bookmarkStart w:id="256" w:name="_Toc217446066"/>
      <w:r>
        <w:rPr>
          <w:rFonts w:hint="eastAsia" w:hAnsi="宋体" w:cs="宋体"/>
          <w:szCs w:val="24"/>
        </w:rPr>
        <w:t>1.1成交供应商在收到采购代理机构发出的《成交通知书》后，应在30日内与采购人签订采购合同。由于成交供应商的原因逾期未与采购人签订采购合同的，将视为放弃成交，取消其成交资格并将按相关规定进行处理。</w:t>
      </w:r>
    </w:p>
    <w:p w14:paraId="6DA1F499">
      <w:pPr>
        <w:spacing w:line="360" w:lineRule="auto"/>
        <w:ind w:firstLine="420" w:firstLineChars="175"/>
        <w:rPr>
          <w:rFonts w:hAnsi="宋体" w:cs="宋体"/>
          <w:szCs w:val="24"/>
        </w:rPr>
      </w:pPr>
      <w:r>
        <w:rPr>
          <w:rFonts w:hint="eastAsia" w:hAnsi="宋体" w:cs="宋体"/>
          <w:szCs w:val="24"/>
        </w:rPr>
        <w:t>1.2 采购人不得向成交供应商提出任何不合理的要求，作为签订合同的条件，不得与成交供应商私下订立背离合同实质性内容的任何协议，所签订的合同不得对磋商文件和成交供应商磋商文件作实质性修改。</w:t>
      </w:r>
    </w:p>
    <w:p w14:paraId="3DDC409A">
      <w:pPr>
        <w:spacing w:line="360" w:lineRule="auto"/>
        <w:ind w:firstLine="420" w:firstLineChars="175"/>
        <w:rPr>
          <w:rFonts w:hAnsi="宋体" w:cs="宋体"/>
          <w:szCs w:val="24"/>
        </w:rPr>
      </w:pPr>
      <w:r>
        <w:rPr>
          <w:rFonts w:hint="eastAsia" w:hAnsi="宋体" w:cs="宋体"/>
          <w:szCs w:val="24"/>
        </w:rPr>
        <w:t>1.3 成交供应商有下列情形之一的，采购人可与排在有效成交供应商之后第一位的成交候选供应商签订采购合同，以此类推。</w:t>
      </w:r>
    </w:p>
    <w:p w14:paraId="10E043CF">
      <w:pPr>
        <w:spacing w:line="360" w:lineRule="auto"/>
        <w:ind w:firstLine="420" w:firstLineChars="175"/>
        <w:rPr>
          <w:rFonts w:hAnsi="宋体" w:cs="宋体"/>
          <w:szCs w:val="24"/>
        </w:rPr>
      </w:pPr>
      <w:r>
        <w:rPr>
          <w:rFonts w:hint="eastAsia" w:hAnsi="宋体" w:cs="宋体"/>
          <w:szCs w:val="24"/>
        </w:rPr>
        <w:t>1.3.1在采购人确定成交人以前无正当理由放弃成交候选资格的；</w:t>
      </w:r>
    </w:p>
    <w:p w14:paraId="1935F529">
      <w:pPr>
        <w:spacing w:line="360" w:lineRule="auto"/>
        <w:ind w:firstLine="420" w:firstLineChars="175"/>
        <w:rPr>
          <w:rFonts w:hAnsi="宋体" w:cs="宋体"/>
          <w:szCs w:val="24"/>
        </w:rPr>
      </w:pPr>
      <w:r>
        <w:rPr>
          <w:rFonts w:hint="eastAsia" w:hAnsi="宋体" w:cs="宋体"/>
          <w:szCs w:val="24"/>
        </w:rPr>
        <w:t>1.3.2磋商文件规定时间内未到采购代理机构领取成交通知书(经磋商采购机构同意延时的情况除外)；</w:t>
      </w:r>
    </w:p>
    <w:p w14:paraId="5A5FA8BF">
      <w:pPr>
        <w:spacing w:line="360" w:lineRule="auto"/>
        <w:ind w:firstLine="420" w:firstLineChars="175"/>
        <w:rPr>
          <w:rFonts w:hAnsi="宋体" w:cs="宋体"/>
          <w:szCs w:val="24"/>
        </w:rPr>
      </w:pPr>
      <w:r>
        <w:rPr>
          <w:rFonts w:hint="eastAsia" w:hAnsi="宋体" w:cs="宋体"/>
          <w:szCs w:val="24"/>
        </w:rPr>
        <w:t>1.3.3由于成交人的原因未能按照磋商文件的规定交纳相关规定费用的；</w:t>
      </w:r>
    </w:p>
    <w:p w14:paraId="4DC2F1F4">
      <w:pPr>
        <w:spacing w:line="360" w:lineRule="auto"/>
        <w:ind w:firstLine="420" w:firstLineChars="175"/>
        <w:rPr>
          <w:rFonts w:hAnsi="宋体" w:cs="宋体"/>
          <w:szCs w:val="24"/>
        </w:rPr>
      </w:pPr>
      <w:r>
        <w:rPr>
          <w:rFonts w:hint="eastAsia" w:hAnsi="宋体" w:cs="宋体"/>
          <w:szCs w:val="24"/>
        </w:rPr>
        <w:t>1.3.4成交人无正当理由不与采购人签订合同的；</w:t>
      </w:r>
    </w:p>
    <w:p w14:paraId="505A682B">
      <w:pPr>
        <w:spacing w:line="360" w:lineRule="auto"/>
        <w:ind w:firstLine="420" w:firstLineChars="175"/>
        <w:rPr>
          <w:rFonts w:hAnsi="宋体" w:cs="宋体"/>
          <w:szCs w:val="24"/>
        </w:rPr>
      </w:pPr>
      <w:r>
        <w:rPr>
          <w:rFonts w:hint="eastAsia" w:hAnsi="宋体" w:cs="宋体"/>
          <w:szCs w:val="24"/>
        </w:rPr>
        <w:t>1.3.5向采购人提出任何不合理的要求作为签订合同的条件；</w:t>
      </w:r>
    </w:p>
    <w:p w14:paraId="7B21D038">
      <w:pPr>
        <w:spacing w:line="360" w:lineRule="auto"/>
        <w:ind w:firstLine="420" w:firstLineChars="175"/>
        <w:rPr>
          <w:rFonts w:hAnsi="宋体" w:cs="宋体"/>
          <w:szCs w:val="24"/>
        </w:rPr>
      </w:pPr>
      <w:r>
        <w:rPr>
          <w:rFonts w:hint="eastAsia" w:hAnsi="宋体" w:cs="宋体"/>
          <w:szCs w:val="24"/>
        </w:rPr>
        <w:t>1.3.6将成交项目转让给他人，或者在响应文件中未说明，且未经采购人同意，将成交项目分包给他人的；</w:t>
      </w:r>
    </w:p>
    <w:p w14:paraId="5B44ED27">
      <w:pPr>
        <w:spacing w:line="360" w:lineRule="auto"/>
        <w:ind w:firstLine="420" w:firstLineChars="175"/>
        <w:rPr>
          <w:rFonts w:hAnsi="宋体" w:cs="宋体"/>
          <w:szCs w:val="24"/>
        </w:rPr>
      </w:pPr>
      <w:r>
        <w:rPr>
          <w:rFonts w:hint="eastAsia" w:hAnsi="宋体" w:cs="宋体"/>
          <w:szCs w:val="24"/>
        </w:rPr>
        <w:t>1.3.7成交人因不可抗力原因不能履行采购合同；</w:t>
      </w:r>
    </w:p>
    <w:p w14:paraId="03DC7A2D">
      <w:pPr>
        <w:spacing w:line="360" w:lineRule="auto"/>
        <w:ind w:firstLine="420" w:firstLineChars="175"/>
        <w:rPr>
          <w:rFonts w:hAnsi="宋体" w:cs="宋体"/>
          <w:szCs w:val="24"/>
        </w:rPr>
      </w:pPr>
      <w:r>
        <w:rPr>
          <w:rFonts w:hint="eastAsia" w:hAnsi="宋体" w:cs="宋体"/>
          <w:szCs w:val="24"/>
        </w:rPr>
        <w:t>1.3.8磋商有效期内，成交人在采购活动中有违法、违规、违纪行为；</w:t>
      </w:r>
    </w:p>
    <w:p w14:paraId="57FAC13B">
      <w:pPr>
        <w:spacing w:line="360" w:lineRule="auto"/>
        <w:ind w:firstLine="420" w:firstLineChars="175"/>
        <w:rPr>
          <w:rFonts w:hAnsi="宋体" w:cs="宋体"/>
          <w:szCs w:val="24"/>
        </w:rPr>
      </w:pPr>
      <w:r>
        <w:rPr>
          <w:rFonts w:hint="eastAsia" w:hAnsi="宋体" w:cs="宋体"/>
          <w:szCs w:val="24"/>
        </w:rPr>
        <w:t>1.3.9磋商文件及其他相关法律法规规定的可与排在成交供应商之后第一位的成交候选供应商签订采购合同的情形。</w:t>
      </w:r>
    </w:p>
    <w:p w14:paraId="38555A41">
      <w:pPr>
        <w:spacing w:line="360" w:lineRule="auto"/>
        <w:ind w:firstLine="422" w:firstLineChars="175"/>
        <w:outlineLvl w:val="2"/>
        <w:rPr>
          <w:rFonts w:hAnsi="宋体" w:cs="宋体"/>
          <w:b/>
          <w:bCs/>
          <w:szCs w:val="24"/>
        </w:rPr>
      </w:pPr>
      <w:bookmarkStart w:id="257" w:name="_Toc170477105"/>
      <w:bookmarkStart w:id="258" w:name="_Toc167440854"/>
      <w:bookmarkStart w:id="259" w:name="_Toc16615"/>
      <w:bookmarkStart w:id="260" w:name="_Toc138167998"/>
      <w:bookmarkStart w:id="261" w:name="_Toc6181"/>
      <w:r>
        <w:rPr>
          <w:rFonts w:hint="eastAsia" w:hAnsi="宋体" w:cs="宋体"/>
          <w:b/>
          <w:bCs/>
          <w:szCs w:val="24"/>
        </w:rPr>
        <w:t>2、合同分包</w:t>
      </w:r>
      <w:bookmarkEnd w:id="256"/>
      <w:r>
        <w:rPr>
          <w:rFonts w:hint="eastAsia" w:hAnsi="宋体" w:cs="宋体"/>
          <w:b/>
          <w:bCs/>
          <w:szCs w:val="24"/>
        </w:rPr>
        <w:t>、转包（实质性要求）</w:t>
      </w:r>
      <w:bookmarkEnd w:id="257"/>
      <w:bookmarkEnd w:id="258"/>
      <w:bookmarkEnd w:id="259"/>
      <w:bookmarkEnd w:id="260"/>
      <w:bookmarkEnd w:id="261"/>
    </w:p>
    <w:p w14:paraId="7216B41E">
      <w:pPr>
        <w:spacing w:line="360" w:lineRule="auto"/>
        <w:ind w:firstLine="420" w:firstLineChars="175"/>
        <w:rPr>
          <w:rFonts w:hAnsi="宋体" w:cs="宋体"/>
          <w:szCs w:val="24"/>
        </w:rPr>
      </w:pPr>
      <w:bookmarkStart w:id="262" w:name="_Toc217446067"/>
      <w:r>
        <w:rPr>
          <w:rFonts w:hint="eastAsia" w:hAnsi="宋体" w:cs="宋体"/>
          <w:szCs w:val="24"/>
        </w:rPr>
        <w:t>本项目不允许合同分包、转包。</w:t>
      </w:r>
    </w:p>
    <w:p w14:paraId="2C6FD2E9">
      <w:pPr>
        <w:spacing w:line="360" w:lineRule="auto"/>
        <w:ind w:firstLine="422" w:firstLineChars="175"/>
        <w:outlineLvl w:val="2"/>
        <w:rPr>
          <w:rFonts w:hAnsi="宋体" w:cs="宋体"/>
          <w:b/>
          <w:bCs/>
          <w:szCs w:val="24"/>
        </w:rPr>
      </w:pPr>
      <w:bookmarkStart w:id="263" w:name="_Toc22978"/>
      <w:bookmarkStart w:id="264" w:name="_Toc138167999"/>
      <w:bookmarkStart w:id="265" w:name="_Toc170477106"/>
      <w:bookmarkStart w:id="266" w:name="_Toc11502"/>
      <w:bookmarkStart w:id="267" w:name="_Toc167440855"/>
      <w:r>
        <w:rPr>
          <w:rFonts w:hint="eastAsia" w:hAnsi="宋体" w:cs="宋体"/>
          <w:b/>
          <w:bCs/>
          <w:szCs w:val="24"/>
        </w:rPr>
        <w:t>3、采购人增加合同标的权</w:t>
      </w:r>
      <w:bookmarkEnd w:id="262"/>
      <w:r>
        <w:rPr>
          <w:rFonts w:hint="eastAsia" w:hAnsi="宋体" w:cs="宋体"/>
          <w:b/>
          <w:bCs/>
          <w:szCs w:val="24"/>
        </w:rPr>
        <w:t>利</w:t>
      </w:r>
      <w:bookmarkEnd w:id="263"/>
      <w:bookmarkEnd w:id="264"/>
      <w:bookmarkEnd w:id="265"/>
      <w:bookmarkEnd w:id="266"/>
      <w:bookmarkEnd w:id="267"/>
    </w:p>
    <w:p w14:paraId="5B5FD041">
      <w:pPr>
        <w:spacing w:line="360" w:lineRule="auto"/>
        <w:ind w:firstLine="495"/>
        <w:rPr>
          <w:rFonts w:hAnsi="宋体" w:cs="宋体"/>
          <w:szCs w:val="24"/>
        </w:rPr>
      </w:pPr>
      <w:r>
        <w:rPr>
          <w:rFonts w:hint="eastAsia" w:hAnsi="宋体" w:cs="宋体"/>
          <w:szCs w:val="24"/>
        </w:rPr>
        <w:t>采购合同履行过程中，采购人需要追加与合同标的相同的服务的，在不改变合同其他条款的前提下，可以与成交供应商协商签订补充合同，签订时间应当在原采购合同履行过程中，不得在原采购合同履行结束后，且采购服务的名称、价格、履约方式、验收标准等必须与原采购合同一致，所有补充合同的采购金额不得超过原合同采购金额的百分之十。</w:t>
      </w:r>
    </w:p>
    <w:p w14:paraId="769645F8">
      <w:pPr>
        <w:spacing w:line="360" w:lineRule="auto"/>
        <w:ind w:firstLine="422" w:firstLineChars="175"/>
        <w:outlineLvl w:val="2"/>
        <w:rPr>
          <w:rFonts w:hAnsi="宋体" w:cs="宋体"/>
          <w:b/>
          <w:bCs/>
          <w:szCs w:val="24"/>
        </w:rPr>
      </w:pPr>
      <w:bookmarkStart w:id="268" w:name="_Toc12884"/>
      <w:bookmarkStart w:id="269" w:name="_Toc170477107"/>
      <w:bookmarkStart w:id="270" w:name="_Toc167440856"/>
      <w:bookmarkStart w:id="271" w:name="_Toc138168000"/>
      <w:bookmarkStart w:id="272" w:name="_Toc19181"/>
      <w:bookmarkStart w:id="273" w:name="_Toc217446069"/>
      <w:r>
        <w:rPr>
          <w:rFonts w:hint="eastAsia" w:hAnsi="宋体" w:cs="宋体"/>
          <w:b/>
          <w:bCs/>
          <w:szCs w:val="24"/>
        </w:rPr>
        <w:t>4、履行合同</w:t>
      </w:r>
      <w:bookmarkEnd w:id="268"/>
      <w:bookmarkEnd w:id="269"/>
      <w:bookmarkEnd w:id="270"/>
      <w:bookmarkEnd w:id="271"/>
      <w:bookmarkEnd w:id="272"/>
      <w:bookmarkEnd w:id="273"/>
    </w:p>
    <w:p w14:paraId="3B4402DB">
      <w:pPr>
        <w:spacing w:line="360" w:lineRule="auto"/>
        <w:ind w:firstLine="495"/>
        <w:rPr>
          <w:rFonts w:hAnsi="宋体" w:cs="宋体"/>
          <w:szCs w:val="24"/>
        </w:rPr>
      </w:pPr>
      <w:r>
        <w:rPr>
          <w:rFonts w:hint="eastAsia" w:hAnsi="宋体" w:cs="宋体"/>
          <w:szCs w:val="24"/>
        </w:rPr>
        <w:t>4.1成交供应商与采购人签订合同后，合同双方应严格执行合同条款，履行合同规定的义务，保证合同的顺利完成。</w:t>
      </w:r>
    </w:p>
    <w:p w14:paraId="6E0FADDA">
      <w:pPr>
        <w:spacing w:line="360" w:lineRule="auto"/>
        <w:ind w:firstLine="495"/>
        <w:rPr>
          <w:rFonts w:hAnsi="宋体" w:cs="宋体"/>
          <w:szCs w:val="24"/>
        </w:rPr>
      </w:pPr>
      <w:r>
        <w:rPr>
          <w:rFonts w:hint="eastAsia" w:hAnsi="宋体" w:cs="宋体"/>
          <w:szCs w:val="24"/>
        </w:rPr>
        <w:t>4.2在合同履行过程中，如发生合同纠纷，合同双方应按照《中华人民共和国民法典》的有关规定进行处理。</w:t>
      </w:r>
    </w:p>
    <w:p w14:paraId="6CF717F8">
      <w:pPr>
        <w:spacing w:line="360" w:lineRule="auto"/>
        <w:ind w:firstLine="422" w:firstLineChars="175"/>
        <w:outlineLvl w:val="2"/>
        <w:rPr>
          <w:rFonts w:hAnsi="宋体" w:cs="宋体"/>
          <w:b/>
          <w:bCs/>
          <w:szCs w:val="24"/>
        </w:rPr>
      </w:pPr>
      <w:bookmarkStart w:id="274" w:name="_Toc170477108"/>
      <w:bookmarkStart w:id="275" w:name="_Toc217446070"/>
      <w:bookmarkStart w:id="276" w:name="_Toc138168001"/>
      <w:bookmarkStart w:id="277" w:name="_Toc13355"/>
      <w:bookmarkStart w:id="278" w:name="_Toc167440857"/>
      <w:bookmarkStart w:id="279" w:name="_Toc6223"/>
      <w:r>
        <w:rPr>
          <w:rFonts w:hint="eastAsia" w:hAnsi="宋体" w:cs="宋体"/>
          <w:b/>
          <w:bCs/>
          <w:szCs w:val="24"/>
        </w:rPr>
        <w:t>5、履约验收</w:t>
      </w:r>
      <w:bookmarkEnd w:id="274"/>
      <w:bookmarkEnd w:id="275"/>
      <w:bookmarkEnd w:id="276"/>
      <w:bookmarkEnd w:id="277"/>
      <w:bookmarkEnd w:id="278"/>
      <w:bookmarkEnd w:id="279"/>
    </w:p>
    <w:p w14:paraId="3970B4D0">
      <w:pPr>
        <w:spacing w:line="360" w:lineRule="auto"/>
        <w:ind w:firstLine="480" w:firstLineChars="200"/>
        <w:rPr>
          <w:rFonts w:hAnsi="宋体" w:cs="宋体"/>
          <w:szCs w:val="24"/>
        </w:rPr>
      </w:pPr>
      <w:bookmarkStart w:id="280" w:name="_Toc217446071"/>
      <w:r>
        <w:rPr>
          <w:rFonts w:hint="eastAsia" w:hAnsi="宋体" w:cs="宋体"/>
          <w:szCs w:val="24"/>
        </w:rPr>
        <w:t>采购项目履约验收工作由采购人负责。采购人可以根据采购项目具体情况自行组织验收，或者委托采购代理机构组织验收，但委托验收不能免除采购人应当承担的法律责任。采购人委托采购代理机构组织验收的，验收服务费及验收过程中发生的有关费用不得由供应商支付。</w:t>
      </w:r>
    </w:p>
    <w:p w14:paraId="41D22CF8">
      <w:bookmarkStart w:id="281" w:name="_Toc12802"/>
    </w:p>
    <w:p w14:paraId="19E1C1DE">
      <w:pPr>
        <w:pStyle w:val="3"/>
        <w:spacing w:line="360" w:lineRule="auto"/>
        <w:rPr>
          <w:rFonts w:ascii="宋体" w:hAnsi="宋体" w:eastAsia="宋体" w:cs="宋体"/>
          <w:sz w:val="24"/>
          <w:szCs w:val="24"/>
        </w:rPr>
      </w:pPr>
      <w:bookmarkStart w:id="282" w:name="_Toc138167926"/>
      <w:bookmarkStart w:id="283" w:name="_Toc32652"/>
      <w:bookmarkStart w:id="284" w:name="_Toc138168002"/>
      <w:bookmarkStart w:id="285" w:name="_Toc170477109"/>
      <w:r>
        <w:rPr>
          <w:rFonts w:hint="eastAsia" w:ascii="宋体" w:hAnsi="宋体" w:eastAsia="宋体" w:cs="宋体"/>
          <w:sz w:val="24"/>
          <w:szCs w:val="24"/>
        </w:rPr>
        <w:t>十一、付款申请</w:t>
      </w:r>
      <w:bookmarkEnd w:id="281"/>
      <w:bookmarkEnd w:id="282"/>
      <w:bookmarkEnd w:id="283"/>
      <w:bookmarkEnd w:id="284"/>
      <w:bookmarkEnd w:id="285"/>
    </w:p>
    <w:bookmarkEnd w:id="202"/>
    <w:bookmarkEnd w:id="203"/>
    <w:bookmarkEnd w:id="280"/>
    <w:p w14:paraId="159F03C3">
      <w:pPr>
        <w:pStyle w:val="5"/>
        <w:spacing w:line="360" w:lineRule="auto"/>
        <w:ind w:firstLine="480"/>
        <w:rPr>
          <w:rFonts w:hAnsi="宋体" w:cs="宋体"/>
          <w:sz w:val="24"/>
          <w:szCs w:val="24"/>
        </w:rPr>
      </w:pPr>
      <w:bookmarkStart w:id="286" w:name="_Toc217446075"/>
      <w:bookmarkStart w:id="287" w:name="_Toc308164815"/>
      <w:bookmarkStart w:id="288" w:name="_Toc30529"/>
      <w:bookmarkStart w:id="289" w:name="_Toc10187"/>
      <w:bookmarkStart w:id="290" w:name="_Toc7782"/>
      <w:r>
        <w:rPr>
          <w:rFonts w:hint="eastAsia" w:hAnsi="宋体" w:cs="宋体"/>
          <w:sz w:val="24"/>
          <w:szCs w:val="24"/>
        </w:rPr>
        <w:t>按照采购合同约定的付款方式执行。</w:t>
      </w:r>
    </w:p>
    <w:bookmarkEnd w:id="286"/>
    <w:bookmarkEnd w:id="287"/>
    <w:bookmarkEnd w:id="288"/>
    <w:bookmarkEnd w:id="289"/>
    <w:p w14:paraId="5C818A76">
      <w:bookmarkStart w:id="291" w:name="_Toc256000017"/>
      <w:bookmarkStart w:id="292" w:name="_Toc11832133"/>
      <w:bookmarkStart w:id="293" w:name="_Toc13564289"/>
      <w:bookmarkStart w:id="294" w:name="_Toc11764021"/>
    </w:p>
    <w:p w14:paraId="782099F5">
      <w:pPr>
        <w:pStyle w:val="3"/>
        <w:spacing w:line="360" w:lineRule="auto"/>
        <w:rPr>
          <w:rFonts w:ascii="宋体" w:hAnsi="宋体" w:eastAsia="宋体" w:cs="宋体"/>
          <w:sz w:val="24"/>
          <w:szCs w:val="24"/>
        </w:rPr>
      </w:pPr>
      <w:bookmarkStart w:id="295" w:name="_Toc170477110"/>
      <w:bookmarkStart w:id="296" w:name="_Toc138168003"/>
      <w:bookmarkStart w:id="297" w:name="_Toc19257"/>
      <w:bookmarkStart w:id="298" w:name="_Toc138167927"/>
      <w:r>
        <w:rPr>
          <w:rFonts w:hint="eastAsia" w:ascii="宋体" w:hAnsi="宋体" w:eastAsia="宋体" w:cs="宋体"/>
          <w:sz w:val="24"/>
          <w:szCs w:val="24"/>
        </w:rPr>
        <w:t>十二、</w:t>
      </w:r>
      <w:bookmarkStart w:id="299" w:name="_Toc439950899"/>
      <w:r>
        <w:rPr>
          <w:rFonts w:hint="eastAsia" w:ascii="宋体" w:hAnsi="宋体" w:eastAsia="宋体" w:cs="宋体"/>
          <w:sz w:val="24"/>
          <w:szCs w:val="24"/>
        </w:rPr>
        <w:t>询问、质疑和投诉</w:t>
      </w:r>
      <w:bookmarkEnd w:id="291"/>
      <w:bookmarkEnd w:id="292"/>
      <w:bookmarkEnd w:id="293"/>
      <w:bookmarkEnd w:id="294"/>
      <w:bookmarkEnd w:id="295"/>
      <w:bookmarkEnd w:id="296"/>
      <w:bookmarkEnd w:id="297"/>
      <w:bookmarkEnd w:id="298"/>
      <w:bookmarkEnd w:id="299"/>
    </w:p>
    <w:p w14:paraId="141EC448">
      <w:pPr>
        <w:tabs>
          <w:tab w:val="left" w:pos="1134"/>
        </w:tabs>
        <w:wordWrap w:val="0"/>
        <w:spacing w:after="120" w:line="360" w:lineRule="auto"/>
        <w:ind w:firstLine="602" w:firstLineChars="250"/>
        <w:rPr>
          <w:rFonts w:hAnsi="宋体"/>
          <w:b/>
          <w:bCs/>
        </w:rPr>
      </w:pPr>
      <w:r>
        <w:rPr>
          <w:rFonts w:hint="eastAsia" w:hAnsi="宋体"/>
          <w:b/>
          <w:bCs/>
        </w:rPr>
        <w:t>询问、质疑、投诉的处理方式</w:t>
      </w:r>
    </w:p>
    <w:p w14:paraId="767FC969">
      <w:pPr>
        <w:tabs>
          <w:tab w:val="left" w:pos="1134"/>
        </w:tabs>
        <w:wordWrap w:val="0"/>
        <w:spacing w:after="120" w:line="360" w:lineRule="auto"/>
        <w:ind w:firstLine="600" w:firstLineChars="250"/>
        <w:rPr>
          <w:rFonts w:hAnsi="宋体"/>
        </w:rPr>
      </w:pPr>
      <w:r>
        <w:rPr>
          <w:rFonts w:hint="eastAsia" w:hAnsi="宋体"/>
        </w:rPr>
        <w:t>询问、质疑、投诉的接收和处理参照《</w:t>
      </w:r>
      <w:r>
        <w:rPr>
          <w:rFonts w:hint="eastAsia" w:hAnsi="宋体" w:cs="宋体"/>
          <w:spacing w:val="8"/>
        </w:rPr>
        <w:t>中华人民共和国</w:t>
      </w:r>
      <w:r>
        <w:rPr>
          <w:rFonts w:hint="eastAsia" w:hAnsi="宋体"/>
        </w:rPr>
        <w:t>政府采购法》、《</w:t>
      </w:r>
      <w:r>
        <w:rPr>
          <w:rFonts w:hint="eastAsia" w:hAnsi="宋体" w:cs="宋体"/>
          <w:spacing w:val="8"/>
        </w:rPr>
        <w:t>中华人民共和国</w:t>
      </w:r>
      <w:r>
        <w:rPr>
          <w:rFonts w:hint="eastAsia" w:hAnsi="宋体"/>
        </w:rPr>
        <w:t>政府采购法实施条例》、财政部《政府采购质疑和投诉办法》、《财政部关于加强政府采购供应商投诉受理审查工作的通知》的规定办理。</w:t>
      </w:r>
    </w:p>
    <w:p w14:paraId="434795BD">
      <w:pPr>
        <w:widowControl/>
        <w:wordWrap w:val="0"/>
        <w:spacing w:line="360" w:lineRule="auto"/>
        <w:jc w:val="left"/>
        <w:rPr>
          <w:rFonts w:hAnsi="宋体"/>
          <w:bCs/>
          <w:spacing w:val="8"/>
        </w:rPr>
      </w:pPr>
      <w:r>
        <w:rPr>
          <w:rFonts w:hAnsi="宋体"/>
          <w:bCs/>
          <w:spacing w:val="8"/>
        </w:rPr>
        <w:br w:type="page"/>
      </w:r>
    </w:p>
    <w:p w14:paraId="126F776F">
      <w:pPr>
        <w:widowControl/>
        <w:snapToGrid w:val="0"/>
        <w:spacing w:line="360" w:lineRule="auto"/>
        <w:jc w:val="left"/>
        <w:rPr>
          <w:rFonts w:hAnsi="宋体" w:cs="宋体"/>
        </w:rPr>
      </w:pPr>
      <w:r>
        <w:rPr>
          <w:rFonts w:hint="eastAsia" w:hAnsi="宋体" w:cs="宋体"/>
        </w:rPr>
        <w:t>附件：质疑书格式及内容</w:t>
      </w:r>
    </w:p>
    <w:bookmarkEnd w:id="290"/>
    <w:p w14:paraId="53C6338B">
      <w:pPr>
        <w:widowControl/>
        <w:snapToGrid w:val="0"/>
        <w:spacing w:line="360" w:lineRule="auto"/>
        <w:ind w:firstLine="482" w:firstLineChars="200"/>
        <w:jc w:val="center"/>
        <w:rPr>
          <w:rFonts w:hAnsi="宋体" w:cs="宋体"/>
          <w:b/>
        </w:rPr>
      </w:pPr>
      <w:bookmarkStart w:id="300" w:name="_Toc414449094"/>
      <w:bookmarkStart w:id="301" w:name="_Toc28925"/>
      <w:bookmarkStart w:id="302" w:name="_Toc7496"/>
      <w:bookmarkStart w:id="303" w:name="_Toc413747183"/>
      <w:bookmarkStart w:id="304" w:name="_Toc1261"/>
      <w:r>
        <w:rPr>
          <w:rFonts w:hint="eastAsia" w:hAnsi="宋体" w:cs="宋体"/>
          <w:b/>
        </w:rPr>
        <w:t>质   疑  书</w:t>
      </w:r>
    </w:p>
    <w:p w14:paraId="1B1A317F">
      <w:pPr>
        <w:widowControl/>
        <w:snapToGrid w:val="0"/>
        <w:spacing w:line="360" w:lineRule="auto"/>
        <w:ind w:firstLine="480" w:firstLineChars="200"/>
        <w:rPr>
          <w:rFonts w:hAnsi="宋体" w:cs="宋体"/>
        </w:rPr>
      </w:pPr>
    </w:p>
    <w:p w14:paraId="7EA1FAFE">
      <w:pPr>
        <w:widowControl/>
        <w:snapToGrid w:val="0"/>
        <w:spacing w:line="360" w:lineRule="auto"/>
        <w:jc w:val="left"/>
        <w:rPr>
          <w:rFonts w:hAnsi="宋体" w:cs="宋体"/>
        </w:rPr>
      </w:pPr>
      <w:r>
        <w:rPr>
          <w:rFonts w:hint="eastAsia" w:hAnsi="宋体" w:cs="宋体"/>
        </w:rPr>
        <w:t>供应商名称：（名称、地址、邮政编码、联系人及联系电话等）</w:t>
      </w:r>
    </w:p>
    <w:p w14:paraId="0E6A8902">
      <w:pPr>
        <w:widowControl/>
        <w:snapToGrid w:val="0"/>
        <w:spacing w:line="360" w:lineRule="auto"/>
        <w:jc w:val="left"/>
        <w:rPr>
          <w:rFonts w:hAnsi="宋体" w:cs="宋体"/>
        </w:rPr>
      </w:pPr>
      <w:r>
        <w:rPr>
          <w:rFonts w:hint="eastAsia" w:hAnsi="宋体" w:cs="宋体"/>
        </w:rPr>
        <w:t>法定代表人：（姓名、职务、联系电话等）</w:t>
      </w:r>
    </w:p>
    <w:p w14:paraId="768682CF">
      <w:pPr>
        <w:widowControl/>
        <w:snapToGrid w:val="0"/>
        <w:spacing w:line="360" w:lineRule="auto"/>
        <w:jc w:val="left"/>
        <w:rPr>
          <w:rFonts w:hAnsi="宋体" w:cs="宋体"/>
        </w:rPr>
      </w:pPr>
      <w:r>
        <w:rPr>
          <w:rFonts w:hint="eastAsia" w:hAnsi="宋体" w:cs="宋体"/>
        </w:rPr>
        <w:t>委托代理人：（姓名、职务、联系电话等）</w:t>
      </w:r>
    </w:p>
    <w:p w14:paraId="77E41531">
      <w:pPr>
        <w:widowControl/>
        <w:snapToGrid w:val="0"/>
        <w:spacing w:line="360" w:lineRule="auto"/>
        <w:jc w:val="left"/>
        <w:rPr>
          <w:rFonts w:hAnsi="宋体" w:cs="宋体"/>
        </w:rPr>
      </w:pPr>
      <w:r>
        <w:rPr>
          <w:rFonts w:hint="eastAsia" w:hAnsi="宋体" w:cs="宋体"/>
        </w:rPr>
        <w:t>被质疑人：（名称、地址、邮政编码、联系人及联系电话等）</w:t>
      </w:r>
    </w:p>
    <w:p w14:paraId="1B59EF86">
      <w:pPr>
        <w:widowControl/>
        <w:snapToGrid w:val="0"/>
        <w:spacing w:line="360" w:lineRule="auto"/>
        <w:ind w:firstLine="480" w:firstLineChars="200"/>
        <w:rPr>
          <w:rFonts w:hAnsi="宋体" w:cs="宋体"/>
        </w:rPr>
      </w:pPr>
    </w:p>
    <w:p w14:paraId="2250789A">
      <w:pPr>
        <w:widowControl/>
        <w:snapToGrid w:val="0"/>
        <w:spacing w:line="360" w:lineRule="auto"/>
        <w:ind w:firstLine="480" w:firstLineChars="200"/>
        <w:rPr>
          <w:rFonts w:hAnsi="宋体" w:cs="宋体"/>
        </w:rPr>
      </w:pPr>
      <w:r>
        <w:rPr>
          <w:rFonts w:hint="eastAsia" w:hAnsi="宋体" w:cs="宋体"/>
        </w:rPr>
        <w:t>（供应商）认为</w:t>
      </w:r>
      <w:r>
        <w:rPr>
          <w:rFonts w:hint="eastAsia" w:hAnsi="宋体" w:cs="宋体"/>
          <w:u w:val="single"/>
        </w:rPr>
        <w:t xml:space="preserve"> </w:t>
      </w:r>
      <w:r>
        <w:rPr>
          <w:rFonts w:hAnsi="宋体" w:cs="宋体"/>
          <w:u w:val="single"/>
        </w:rPr>
        <w:t xml:space="preserve">               </w:t>
      </w:r>
      <w:r>
        <w:rPr>
          <w:rFonts w:hint="eastAsia" w:hAnsi="宋体" w:cs="宋体"/>
        </w:rPr>
        <w:t>（质疑项目及编号）的（采购文件或采购过程或成交结果）使我单位的合法权益受到损害，现向你单位提出书面质疑。</w:t>
      </w:r>
    </w:p>
    <w:p w14:paraId="09AC9899">
      <w:pPr>
        <w:widowControl/>
        <w:snapToGrid w:val="0"/>
        <w:spacing w:line="360" w:lineRule="auto"/>
        <w:ind w:firstLine="480" w:firstLineChars="200"/>
        <w:rPr>
          <w:rFonts w:hAnsi="宋体" w:cs="宋体"/>
        </w:rPr>
      </w:pPr>
      <w:r>
        <w:rPr>
          <w:rFonts w:hint="eastAsia" w:hAnsi="宋体" w:cs="宋体"/>
        </w:rPr>
        <w:t>质疑事项：</w:t>
      </w:r>
      <w:r>
        <w:rPr>
          <w:rFonts w:hint="eastAsia" w:hAnsi="宋体" w:cs="宋体"/>
          <w:u w:val="single"/>
        </w:rPr>
        <w:t xml:space="preserve">                                              </w:t>
      </w:r>
      <w:r>
        <w:rPr>
          <w:rFonts w:hint="eastAsia" w:hAnsi="宋体" w:cs="宋体"/>
        </w:rPr>
        <w:t>。</w:t>
      </w:r>
    </w:p>
    <w:p w14:paraId="45A13DBA">
      <w:pPr>
        <w:widowControl/>
        <w:snapToGrid w:val="0"/>
        <w:spacing w:line="360" w:lineRule="auto"/>
        <w:ind w:firstLine="480" w:firstLineChars="200"/>
        <w:rPr>
          <w:rFonts w:hAnsi="宋体" w:cs="宋体"/>
        </w:rPr>
      </w:pPr>
      <w:r>
        <w:rPr>
          <w:rFonts w:hint="eastAsia" w:hAnsi="宋体" w:cs="宋体"/>
        </w:rPr>
        <w:t>法律依据、事实依据、理由：</w:t>
      </w:r>
      <w:r>
        <w:rPr>
          <w:rFonts w:hint="eastAsia" w:hAnsi="宋体" w:cs="宋体"/>
          <w:u w:val="single"/>
        </w:rPr>
        <w:t xml:space="preserve"> </w:t>
      </w:r>
      <w:r>
        <w:rPr>
          <w:rFonts w:hAnsi="宋体" w:cs="宋体"/>
          <w:u w:val="single"/>
        </w:rPr>
        <w:t xml:space="preserve">                             </w:t>
      </w:r>
      <w:r>
        <w:rPr>
          <w:rFonts w:hint="eastAsia" w:hAnsi="宋体" w:cs="宋体"/>
        </w:rPr>
        <w:t>。</w:t>
      </w:r>
    </w:p>
    <w:p w14:paraId="57C7E029">
      <w:pPr>
        <w:widowControl/>
        <w:snapToGrid w:val="0"/>
        <w:spacing w:line="360" w:lineRule="auto"/>
        <w:ind w:firstLine="480" w:firstLineChars="200"/>
        <w:jc w:val="right"/>
        <w:rPr>
          <w:rFonts w:hAnsi="宋体" w:cs="宋体"/>
        </w:rPr>
      </w:pPr>
    </w:p>
    <w:p w14:paraId="38B364CC">
      <w:pPr>
        <w:widowControl/>
        <w:wordWrap w:val="0"/>
        <w:snapToGrid w:val="0"/>
        <w:spacing w:line="360" w:lineRule="auto"/>
        <w:jc w:val="center"/>
        <w:rPr>
          <w:rFonts w:hAnsi="宋体" w:cs="宋体"/>
        </w:rPr>
      </w:pPr>
      <w:r>
        <w:rPr>
          <w:rFonts w:hint="eastAsia" w:hAnsi="宋体" w:cs="宋体"/>
        </w:rPr>
        <w:t xml:space="preserve">               </w:t>
      </w:r>
      <w:r>
        <w:rPr>
          <w:rFonts w:hAnsi="宋体" w:cs="宋体"/>
        </w:rPr>
        <w:t xml:space="preserve">       </w:t>
      </w:r>
      <w:r>
        <w:rPr>
          <w:rFonts w:hint="eastAsia" w:hAnsi="宋体" w:cs="宋体"/>
        </w:rPr>
        <w:t xml:space="preserve">公司名称：                                      </w:t>
      </w:r>
    </w:p>
    <w:p w14:paraId="777A8A87">
      <w:pPr>
        <w:widowControl/>
        <w:wordWrap w:val="0"/>
        <w:snapToGrid w:val="0"/>
        <w:spacing w:line="360" w:lineRule="auto"/>
        <w:jc w:val="right"/>
        <w:rPr>
          <w:rFonts w:hAnsi="宋体" w:cs="宋体"/>
        </w:rPr>
      </w:pPr>
      <w:r>
        <w:rPr>
          <w:rFonts w:hint="eastAsia" w:hAnsi="宋体" w:cs="宋体"/>
        </w:rPr>
        <w:t xml:space="preserve">法定代表人或授权代表（签字或盖章）：               </w:t>
      </w:r>
    </w:p>
    <w:p w14:paraId="48A473F1">
      <w:pPr>
        <w:widowControl/>
        <w:snapToGrid w:val="0"/>
        <w:spacing w:line="360" w:lineRule="auto"/>
        <w:ind w:firstLine="480" w:firstLineChars="200"/>
        <w:jc w:val="right"/>
        <w:rPr>
          <w:rFonts w:hAnsi="宋体" w:cs="宋体"/>
        </w:rPr>
      </w:pPr>
      <w:r>
        <w:rPr>
          <w:rFonts w:hint="eastAsia" w:hAnsi="宋体" w:cs="宋体"/>
        </w:rPr>
        <w:t>年     月     日</w:t>
      </w:r>
    </w:p>
    <w:p w14:paraId="076F4698">
      <w:pPr>
        <w:pStyle w:val="14"/>
        <w:tabs>
          <w:tab w:val="left" w:pos="1134"/>
        </w:tabs>
        <w:spacing w:after="0" w:line="360" w:lineRule="auto"/>
        <w:ind w:left="0" w:leftChars="0" w:firstLine="482" w:firstLineChars="200"/>
        <w:rPr>
          <w:rFonts w:ascii="宋体" w:hAnsi="宋体" w:cs="宋体"/>
          <w:b/>
          <w:sz w:val="24"/>
        </w:rPr>
      </w:pPr>
      <w:r>
        <w:rPr>
          <w:rFonts w:hint="eastAsia" w:ascii="宋体" w:hAnsi="宋体" w:cs="宋体"/>
          <w:b/>
          <w:sz w:val="24"/>
        </w:rPr>
        <w:t>注：供应商提出质疑时应当提供的相关资料：</w:t>
      </w:r>
    </w:p>
    <w:p w14:paraId="0FEB8FE4">
      <w:pPr>
        <w:pStyle w:val="14"/>
        <w:tabs>
          <w:tab w:val="left" w:pos="567"/>
          <w:tab w:val="left" w:pos="1134"/>
        </w:tabs>
        <w:spacing w:after="0" w:line="360" w:lineRule="auto"/>
        <w:ind w:left="0" w:leftChars="0" w:firstLine="480" w:firstLineChars="200"/>
        <w:rPr>
          <w:rFonts w:ascii="宋体" w:hAnsi="宋体" w:cs="宋体"/>
          <w:sz w:val="24"/>
        </w:rPr>
      </w:pPr>
      <w:r>
        <w:rPr>
          <w:rFonts w:hint="eastAsia" w:ascii="宋体" w:hAnsi="宋体" w:cs="宋体"/>
          <w:sz w:val="24"/>
        </w:rPr>
        <w:t>（1）提供参与报名的证明材料 1份（对磋商文件提出质疑的需提供）；</w:t>
      </w:r>
    </w:p>
    <w:p w14:paraId="0FF0A7D7">
      <w:pPr>
        <w:widowControl/>
        <w:spacing w:line="360" w:lineRule="auto"/>
        <w:ind w:firstLine="480" w:firstLineChars="200"/>
        <w:rPr>
          <w:rFonts w:hAnsi="宋体" w:cs="宋体"/>
        </w:rPr>
      </w:pPr>
      <w:r>
        <w:rPr>
          <w:rFonts w:hint="eastAsia" w:hAnsi="宋体" w:cs="宋体"/>
        </w:rPr>
        <w:t>（2）质疑书正本1份，副本2份（如果涉及更多的供应商须提供相应数量的副本）；</w:t>
      </w:r>
    </w:p>
    <w:p w14:paraId="6CE80718">
      <w:pPr>
        <w:widowControl/>
        <w:spacing w:line="360" w:lineRule="auto"/>
        <w:ind w:firstLine="480" w:firstLineChars="200"/>
        <w:rPr>
          <w:rFonts w:hAnsi="宋体" w:cs="宋体"/>
        </w:rPr>
      </w:pPr>
      <w:r>
        <w:rPr>
          <w:rFonts w:hint="eastAsia" w:hAnsi="宋体" w:cs="宋体"/>
        </w:rPr>
        <w:t>（3）法定代表人授权委托书1份（委托代理人办理质疑事宜的需提供）；</w:t>
      </w:r>
    </w:p>
    <w:p w14:paraId="5D5799EB">
      <w:pPr>
        <w:widowControl/>
        <w:spacing w:line="360" w:lineRule="auto"/>
        <w:ind w:firstLine="480" w:firstLineChars="200"/>
        <w:rPr>
          <w:rFonts w:hAnsi="宋体" w:cs="宋体"/>
        </w:rPr>
      </w:pPr>
      <w:r>
        <w:rPr>
          <w:rFonts w:hint="eastAsia" w:hAnsi="宋体" w:cs="宋体"/>
        </w:rPr>
        <w:t>（4）营业执照复印件1份（加盖公章）；</w:t>
      </w:r>
    </w:p>
    <w:p w14:paraId="354B7AFC">
      <w:pPr>
        <w:pStyle w:val="14"/>
        <w:tabs>
          <w:tab w:val="left" w:pos="567"/>
          <w:tab w:val="left" w:pos="1134"/>
        </w:tabs>
        <w:spacing w:after="0" w:line="360" w:lineRule="auto"/>
        <w:ind w:left="0" w:leftChars="0" w:firstLine="480" w:firstLineChars="200"/>
        <w:rPr>
          <w:rFonts w:ascii="宋体" w:hAnsi="宋体" w:cs="宋体"/>
          <w:sz w:val="24"/>
        </w:rPr>
      </w:pPr>
      <w:r>
        <w:rPr>
          <w:rFonts w:hint="eastAsia" w:ascii="宋体" w:hAnsi="宋体" w:cs="宋体"/>
          <w:sz w:val="24"/>
        </w:rPr>
        <w:t>（5）法定代表人身份证复印件1份；</w:t>
      </w:r>
    </w:p>
    <w:p w14:paraId="1A4F372A">
      <w:pPr>
        <w:pStyle w:val="14"/>
        <w:tabs>
          <w:tab w:val="left" w:pos="567"/>
          <w:tab w:val="left" w:pos="1134"/>
        </w:tabs>
        <w:spacing w:after="0" w:line="360" w:lineRule="auto"/>
        <w:ind w:left="0" w:leftChars="0" w:firstLine="480" w:firstLineChars="200"/>
        <w:rPr>
          <w:rFonts w:ascii="宋体" w:hAnsi="宋体" w:cs="宋体"/>
          <w:sz w:val="24"/>
        </w:rPr>
      </w:pPr>
      <w:r>
        <w:rPr>
          <w:rFonts w:hint="eastAsia" w:ascii="宋体" w:hAnsi="宋体" w:cs="宋体"/>
          <w:sz w:val="24"/>
        </w:rPr>
        <w:t>（6）委托代理人身份证复印件1份（委托代理人办理质疑事宜的需提供）；</w:t>
      </w:r>
    </w:p>
    <w:p w14:paraId="5EACFF3A">
      <w:pPr>
        <w:pStyle w:val="14"/>
        <w:tabs>
          <w:tab w:val="left" w:pos="567"/>
          <w:tab w:val="left" w:pos="1134"/>
        </w:tabs>
        <w:spacing w:after="0" w:line="360" w:lineRule="auto"/>
        <w:ind w:left="0" w:leftChars="0" w:firstLine="480" w:firstLineChars="200"/>
        <w:rPr>
          <w:rFonts w:ascii="宋体" w:hAnsi="宋体" w:cs="宋体"/>
          <w:sz w:val="24"/>
        </w:rPr>
      </w:pPr>
      <w:r>
        <w:rPr>
          <w:rFonts w:hint="eastAsia" w:ascii="宋体" w:hAnsi="宋体" w:cs="宋体"/>
          <w:sz w:val="24"/>
        </w:rPr>
        <w:t>（7）针对质疑事项必要的证明材料。</w:t>
      </w:r>
      <w:bookmarkStart w:id="305" w:name="_Toc30433"/>
      <w:bookmarkStart w:id="306" w:name="_Toc443393340"/>
    </w:p>
    <w:bookmarkEnd w:id="305"/>
    <w:bookmarkEnd w:id="306"/>
    <w:p w14:paraId="7A3644B6">
      <w:pPr>
        <w:pStyle w:val="14"/>
        <w:tabs>
          <w:tab w:val="left" w:pos="567"/>
          <w:tab w:val="left" w:pos="1134"/>
        </w:tabs>
        <w:spacing w:after="0" w:line="360" w:lineRule="auto"/>
        <w:ind w:left="0" w:leftChars="0" w:firstLine="480" w:firstLineChars="200"/>
        <w:rPr>
          <w:rFonts w:ascii="宋体" w:hAnsi="宋体" w:cs="宋体"/>
          <w:sz w:val="24"/>
        </w:rPr>
      </w:pPr>
      <w:r>
        <w:rPr>
          <w:rFonts w:hint="eastAsia" w:ascii="宋体" w:hAnsi="宋体" w:cs="宋体"/>
          <w:sz w:val="24"/>
        </w:rPr>
        <w:t>（8）质疑书电子档1份（doc格式）。</w:t>
      </w:r>
    </w:p>
    <w:p w14:paraId="58ED2C96">
      <w:pPr>
        <w:widowControl/>
        <w:spacing w:line="360" w:lineRule="auto"/>
        <w:ind w:firstLine="482" w:firstLineChars="200"/>
        <w:rPr>
          <w:rFonts w:hAnsi="宋体" w:cs="宋体"/>
          <w:shd w:val="clear" w:color="auto" w:fill="FFFFFF"/>
        </w:rPr>
      </w:pPr>
      <w:r>
        <w:rPr>
          <w:rFonts w:hint="eastAsia" w:hAnsi="宋体" w:cs="宋体"/>
          <w:b/>
          <w:bCs/>
        </w:rPr>
        <w:t>（9）供应商在法定质疑期内一次性提出针对同一采购程序环节的质疑（实质性要求）。</w:t>
      </w:r>
    </w:p>
    <w:p w14:paraId="1116DEE7">
      <w:pPr>
        <w:widowControl/>
        <w:snapToGrid w:val="0"/>
        <w:spacing w:line="360" w:lineRule="auto"/>
        <w:ind w:firstLine="480" w:firstLineChars="200"/>
        <w:rPr>
          <w:rFonts w:hAnsi="宋体" w:cs="宋体"/>
        </w:rPr>
      </w:pPr>
    </w:p>
    <w:p w14:paraId="733896A6">
      <w:pPr>
        <w:widowControl/>
        <w:spacing w:line="360" w:lineRule="auto"/>
        <w:jc w:val="left"/>
        <w:rPr>
          <w:rFonts w:hAnsi="宋体" w:cs="宋体"/>
          <w:b/>
          <w:szCs w:val="24"/>
        </w:rPr>
      </w:pPr>
      <w:r>
        <w:rPr>
          <w:rFonts w:hAnsi="宋体" w:cs="宋体"/>
          <w:szCs w:val="24"/>
        </w:rPr>
        <w:br w:type="page"/>
      </w:r>
    </w:p>
    <w:bookmarkEnd w:id="300"/>
    <w:bookmarkEnd w:id="301"/>
    <w:bookmarkEnd w:id="302"/>
    <w:bookmarkEnd w:id="303"/>
    <w:bookmarkEnd w:id="304"/>
    <w:p w14:paraId="5D26BAAE">
      <w:pPr>
        <w:pStyle w:val="34"/>
        <w:spacing w:line="360" w:lineRule="auto"/>
        <w:rPr>
          <w:rFonts w:ascii="宋体" w:hAnsi="宋体" w:eastAsia="宋体" w:cs="宋体"/>
          <w:sz w:val="32"/>
          <w:szCs w:val="32"/>
        </w:rPr>
      </w:pPr>
      <w:bookmarkStart w:id="307" w:name="_Toc138168004"/>
      <w:bookmarkStart w:id="308" w:name="_Toc1490"/>
      <w:bookmarkStart w:id="309" w:name="_Toc7341"/>
      <w:bookmarkStart w:id="310" w:name="_Toc20169"/>
      <w:bookmarkStart w:id="311" w:name="_Toc138167928"/>
      <w:bookmarkStart w:id="312" w:name="_Toc11352"/>
      <w:bookmarkStart w:id="313" w:name="_Toc170477111"/>
      <w:bookmarkStart w:id="314" w:name="_Toc32171"/>
      <w:bookmarkStart w:id="315" w:name="_Toc19334"/>
      <w:bookmarkStart w:id="316" w:name="_Toc24039"/>
      <w:bookmarkStart w:id="317" w:name="_Toc15961"/>
      <w:bookmarkStart w:id="318" w:name="_Toc8273"/>
      <w:bookmarkStart w:id="319" w:name="_Toc5182"/>
      <w:r>
        <w:rPr>
          <w:rFonts w:hint="eastAsia" w:ascii="宋体" w:hAnsi="宋体" w:eastAsia="宋体" w:cs="宋体"/>
          <w:sz w:val="32"/>
          <w:szCs w:val="32"/>
        </w:rPr>
        <w:t>第三章  供应商、磋商服务应当提供的资格、资质性及其他类似效力要求的相关证明材料</w:t>
      </w:r>
      <w:bookmarkEnd w:id="307"/>
      <w:bookmarkEnd w:id="308"/>
      <w:bookmarkEnd w:id="309"/>
      <w:bookmarkEnd w:id="310"/>
      <w:bookmarkEnd w:id="311"/>
      <w:bookmarkEnd w:id="312"/>
      <w:bookmarkEnd w:id="313"/>
    </w:p>
    <w:p w14:paraId="328A8D20">
      <w:pPr>
        <w:pStyle w:val="35"/>
        <w:ind w:firstLine="0" w:firstLineChars="0"/>
        <w:rPr>
          <w:rFonts w:hAnsi="宋体" w:cs="宋体"/>
          <w:b/>
          <w:bCs/>
        </w:rPr>
      </w:pPr>
    </w:p>
    <w:p w14:paraId="1FCBD3F8">
      <w:pPr>
        <w:pStyle w:val="35"/>
        <w:ind w:firstLine="0" w:firstLineChars="0"/>
        <w:rPr>
          <w:rFonts w:hAnsi="宋体" w:cs="宋体"/>
          <w:b/>
          <w:bCs/>
        </w:rPr>
      </w:pPr>
      <w:r>
        <w:rPr>
          <w:rFonts w:hint="eastAsia" w:hAnsi="宋体" w:cs="宋体"/>
          <w:b/>
          <w:bCs/>
        </w:rPr>
        <w:t>一、供应商应当提供的资格、资质性及其他类似效力要求的相关证明材料：</w:t>
      </w:r>
    </w:p>
    <w:p w14:paraId="47037DC8">
      <w:pPr>
        <w:spacing w:line="360" w:lineRule="auto"/>
        <w:ind w:left="60" w:right="600" w:rightChars="250" w:firstLine="420"/>
        <w:rPr>
          <w:rFonts w:hAnsi="宋体" w:cs="宋体"/>
        </w:rPr>
      </w:pPr>
      <w:r>
        <w:rPr>
          <w:rFonts w:hint="eastAsia" w:hAnsi="宋体" w:cs="宋体"/>
        </w:rPr>
        <w:t>（一）承诺函原件（格式见第五章）；</w:t>
      </w:r>
    </w:p>
    <w:p w14:paraId="3B1A9072">
      <w:pPr>
        <w:tabs>
          <w:tab w:val="left" w:pos="7665"/>
        </w:tabs>
        <w:spacing w:line="360" w:lineRule="auto"/>
        <w:ind w:left="60" w:right="600" w:rightChars="250" w:firstLine="420"/>
        <w:rPr>
          <w:rFonts w:hAnsi="宋体" w:cs="宋体"/>
        </w:rPr>
      </w:pPr>
      <w:r>
        <w:rPr>
          <w:rFonts w:hint="eastAsia" w:hAnsi="宋体" w:cs="宋体"/>
        </w:rPr>
        <w:t>（二）供应商为企业（包括合伙企业）、个体工商户的提供工商营业执照或提供由工商行政管理部门核发的法人和其他组织统一社会信用代码的营业执照（复印件）；供应商属于银行、保险、石油石化、电力、电信等有行业特殊情况的，提供企业分支机构营业执照副本或统一社会信用代码的营业执照副本（复印件）；供应商为其他组织的提供事业单位法人证书或执业许可证等证明文件（复印件）；如为自然人的提供为中国公民的自然人身份证明（复印件）；</w:t>
      </w:r>
    </w:p>
    <w:p w14:paraId="18FE6804">
      <w:pPr>
        <w:tabs>
          <w:tab w:val="left" w:pos="7665"/>
        </w:tabs>
        <w:spacing w:line="360" w:lineRule="auto"/>
        <w:ind w:left="60" w:right="600" w:rightChars="250" w:firstLine="420"/>
        <w:rPr>
          <w:rFonts w:hAnsi="宋体" w:cs="宋体"/>
        </w:rPr>
      </w:pPr>
      <w:r>
        <w:rPr>
          <w:rFonts w:hint="eastAsia" w:hAnsi="宋体" w:cs="宋体"/>
        </w:rPr>
        <w:t>（三）具有良好的商业信誉和健全的财务会计制度：</w:t>
      </w:r>
    </w:p>
    <w:p w14:paraId="0C092B7B">
      <w:pPr>
        <w:tabs>
          <w:tab w:val="left" w:pos="7665"/>
        </w:tabs>
        <w:spacing w:line="360" w:lineRule="auto"/>
        <w:ind w:left="480" w:right="600" w:rightChars="250"/>
        <w:rPr>
          <w:rFonts w:hAnsi="宋体" w:cs="宋体"/>
        </w:rPr>
      </w:pPr>
      <w:r>
        <w:rPr>
          <w:rFonts w:hint="eastAsia" w:hAnsi="宋体" w:cs="宋体"/>
        </w:rPr>
        <w:t>1、具有良好的商业信誉：提供具有良好的商业信誉承诺函（格式自拟）。</w:t>
      </w:r>
    </w:p>
    <w:p w14:paraId="4E96D243">
      <w:pPr>
        <w:tabs>
          <w:tab w:val="left" w:pos="7665"/>
        </w:tabs>
        <w:spacing w:line="360" w:lineRule="auto"/>
        <w:ind w:left="480" w:right="600" w:rightChars="250"/>
        <w:rPr>
          <w:rFonts w:hAnsi="宋体" w:cs="宋体"/>
        </w:rPr>
      </w:pPr>
      <w:r>
        <w:rPr>
          <w:rFonts w:hint="eastAsia" w:hAnsi="宋体" w:cs="宋体"/>
        </w:rPr>
        <w:t>2、具备健全的财务会计制度的证明材料：</w:t>
      </w:r>
    </w:p>
    <w:p w14:paraId="046F66CB">
      <w:pPr>
        <w:tabs>
          <w:tab w:val="left" w:pos="7665"/>
        </w:tabs>
        <w:spacing w:line="360" w:lineRule="auto"/>
        <w:ind w:right="600" w:rightChars="250" w:firstLine="480" w:firstLineChars="200"/>
        <w:rPr>
          <w:rFonts w:hAnsi="宋体" w:cs="宋体"/>
        </w:rPr>
      </w:pPr>
      <w:r>
        <w:rPr>
          <w:rFonts w:hint="eastAsia" w:hAnsi="宋体" w:cs="宋体"/>
        </w:rPr>
        <w:t>①提供2022年度或2023年度经审计的财务报告复印件（包含审计报告和审计报告中所涉及的财务报表和报表附注）；②提供2022年度或2023年度供应商内部的财务报表复印件（至少包含资产负债表）；③提供截至响应文件递交截止日一年内银行出具的资信证明（复印件）；④供应商注册时间截至投标文件递交截止日不足一年的，提供在工商备案的公司章程（复印件）；⑤提供具有健全的财务会计制度的承诺函（格式自拟）。注：供应商根据自身情况选择提供以上①-⑤项其中之一并盖单位鲜章；</w:t>
      </w:r>
    </w:p>
    <w:p w14:paraId="4A96B760">
      <w:pPr>
        <w:tabs>
          <w:tab w:val="left" w:pos="7665"/>
        </w:tabs>
        <w:spacing w:line="360" w:lineRule="auto"/>
        <w:ind w:left="60" w:right="600" w:rightChars="250" w:firstLine="420"/>
        <w:rPr>
          <w:rFonts w:hAnsi="宋体" w:cs="宋体"/>
        </w:rPr>
      </w:pPr>
      <w:r>
        <w:rPr>
          <w:rFonts w:hint="eastAsia" w:hAnsi="宋体" w:cs="宋体"/>
        </w:rPr>
        <w:t>（四）具有履行合同所必需的设备和专业技术能力的证明材料或具有履行合同所必须的设备和专业技术能力的书面承诺函原件（格式自拟）；</w:t>
      </w:r>
    </w:p>
    <w:p w14:paraId="510DD19E">
      <w:pPr>
        <w:tabs>
          <w:tab w:val="left" w:pos="7665"/>
        </w:tabs>
        <w:spacing w:line="360" w:lineRule="auto"/>
        <w:ind w:left="60" w:right="600" w:rightChars="250" w:firstLine="420"/>
        <w:rPr>
          <w:rFonts w:hAnsi="宋体" w:cs="宋体"/>
        </w:rPr>
      </w:pPr>
      <w:r>
        <w:rPr>
          <w:rFonts w:hint="eastAsia" w:hAnsi="宋体" w:cs="宋体"/>
        </w:rPr>
        <w:t>（五）具有依法缴纳税收和社会保障资金的良好记录的书面承诺函原件（格式自拟）；</w:t>
      </w:r>
    </w:p>
    <w:p w14:paraId="73B3094B">
      <w:pPr>
        <w:tabs>
          <w:tab w:val="left" w:pos="7665"/>
        </w:tabs>
        <w:spacing w:line="360" w:lineRule="auto"/>
        <w:ind w:left="60" w:right="600" w:rightChars="250" w:firstLine="420"/>
        <w:rPr>
          <w:rFonts w:hAnsi="宋体" w:cs="宋体"/>
        </w:rPr>
      </w:pPr>
      <w:r>
        <w:rPr>
          <w:rFonts w:hint="eastAsia" w:hAnsi="宋体" w:cs="宋体"/>
        </w:rPr>
        <w:t>（六）参加本次采购活动前三年内，在经营活动中没有重大违法记录的书面承诺函原件（格式自拟）；</w:t>
      </w:r>
    </w:p>
    <w:p w14:paraId="58CF9C2D">
      <w:pPr>
        <w:tabs>
          <w:tab w:val="left" w:pos="7665"/>
        </w:tabs>
        <w:spacing w:line="360" w:lineRule="auto"/>
        <w:ind w:left="60" w:right="600" w:rightChars="250" w:firstLine="420"/>
        <w:rPr>
          <w:rFonts w:hAnsi="宋体" w:cs="宋体"/>
        </w:rPr>
      </w:pPr>
      <w:r>
        <w:rPr>
          <w:rFonts w:hint="eastAsia" w:hAnsi="宋体" w:cs="宋体"/>
        </w:rPr>
        <w:t>（七）供应商及其现任法定代表人/主要负责人不得具有行贿犯罪记录承诺函（格式见第五章）；</w:t>
      </w:r>
    </w:p>
    <w:p w14:paraId="24609EE7">
      <w:pPr>
        <w:tabs>
          <w:tab w:val="left" w:pos="7665"/>
        </w:tabs>
        <w:spacing w:line="360" w:lineRule="auto"/>
        <w:ind w:left="60" w:right="600" w:rightChars="250" w:firstLine="420"/>
        <w:rPr>
          <w:rFonts w:hAnsi="宋体" w:cs="宋体"/>
        </w:rPr>
      </w:pPr>
      <w:r>
        <w:rPr>
          <w:rFonts w:hint="eastAsia" w:hAnsi="宋体" w:cs="宋体"/>
        </w:rPr>
        <w:t>（八）法律、行政法规规定的其他条件提供以下证明材料：</w:t>
      </w:r>
      <w:r>
        <w:rPr>
          <w:rFonts w:hint="eastAsia" w:hAnsi="宋体" w:cs="宋体"/>
          <w:b/>
        </w:rPr>
        <w:t>无</w:t>
      </w:r>
    </w:p>
    <w:p w14:paraId="6EE7E35F">
      <w:pPr>
        <w:spacing w:line="360" w:lineRule="auto"/>
        <w:ind w:left="60" w:firstLine="420"/>
        <w:rPr>
          <w:rFonts w:hAnsi="宋体" w:cs="宋体"/>
        </w:rPr>
      </w:pPr>
      <w:r>
        <w:rPr>
          <w:rFonts w:hint="eastAsia" w:hAnsi="宋体" w:cs="宋体"/>
        </w:rPr>
        <w:t>（九）</w:t>
      </w:r>
      <w:r>
        <w:rPr>
          <w:rFonts w:hAnsi="宋体" w:cs="宋体"/>
        </w:rPr>
        <w:t>本项目的特定资格要求：</w:t>
      </w:r>
    </w:p>
    <w:p w14:paraId="070D3612">
      <w:pPr>
        <w:spacing w:line="360" w:lineRule="auto"/>
        <w:ind w:left="60" w:firstLine="420"/>
        <w:rPr>
          <w:rFonts w:hAnsi="宋体" w:cs="宋体"/>
        </w:rPr>
      </w:pPr>
      <w:r>
        <w:rPr>
          <w:rFonts w:hint="eastAsia" w:hAnsi="宋体" w:cs="宋体"/>
        </w:rPr>
        <w:t>1、本项目不接受联合体参与本次采购活动；供应商须提供非联合体承诺函（格式自拟）；</w:t>
      </w:r>
    </w:p>
    <w:p w14:paraId="449EA36F">
      <w:pPr>
        <w:spacing w:line="360" w:lineRule="auto"/>
        <w:ind w:firstLine="480" w:firstLineChars="200"/>
        <w:rPr>
          <w:rFonts w:hAnsi="宋体" w:cs="宋体"/>
        </w:rPr>
      </w:pPr>
      <w:r>
        <w:rPr>
          <w:rFonts w:hint="eastAsia" w:hAnsi="宋体" w:cs="宋体"/>
        </w:rPr>
        <w:t>2、本项目不允许合同分包。</w:t>
      </w:r>
    </w:p>
    <w:p w14:paraId="57892867">
      <w:pPr>
        <w:spacing w:line="360" w:lineRule="auto"/>
        <w:ind w:left="60" w:firstLine="420"/>
        <w:rPr>
          <w:rFonts w:hAnsi="宋体" w:cs="宋体"/>
        </w:rPr>
      </w:pPr>
      <w:r>
        <w:rPr>
          <w:rFonts w:hint="eastAsia" w:hAnsi="宋体" w:cs="宋体"/>
        </w:rPr>
        <w:t>3、本项目的特定资格要求：</w:t>
      </w:r>
    </w:p>
    <w:p w14:paraId="2C670E3E">
      <w:pPr>
        <w:spacing w:line="360" w:lineRule="auto"/>
        <w:ind w:left="60" w:firstLine="420"/>
        <w:rPr>
          <w:rFonts w:hAnsi="宋体" w:cs="宋体"/>
        </w:rPr>
      </w:pPr>
      <w:r>
        <w:rPr>
          <w:rFonts w:hint="eastAsia" w:hAnsi="宋体" w:cs="宋体"/>
        </w:rPr>
        <w:t>3.1 供应商需具备行政主管部门颁发在有效期内的电力施工总承包三级或输变电工程专业承包三级以上资质；（提供相关证明材料）</w:t>
      </w:r>
    </w:p>
    <w:p w14:paraId="3A7348E5">
      <w:pPr>
        <w:spacing w:line="360" w:lineRule="auto"/>
        <w:ind w:left="60" w:firstLine="420"/>
        <w:rPr>
          <w:rFonts w:hAnsi="宋体" w:cs="宋体"/>
        </w:rPr>
      </w:pPr>
      <w:r>
        <w:rPr>
          <w:rFonts w:hint="eastAsia" w:hAnsi="宋体" w:cs="宋体"/>
          <w:color w:val="000000" w:themeColor="text1"/>
        </w:rPr>
        <w:t>3.2 具有国家能源局颁发的《承装（修、试）电力设施许可证》承装、承修、承试五级及以上许可证；（</w:t>
      </w:r>
      <w:r>
        <w:rPr>
          <w:rFonts w:hint="eastAsia" w:hAnsi="宋体" w:cs="宋体"/>
        </w:rPr>
        <w:t>提供相关证明材料）</w:t>
      </w:r>
    </w:p>
    <w:p w14:paraId="0A093CFB">
      <w:pPr>
        <w:spacing w:line="360" w:lineRule="auto"/>
        <w:ind w:left="60" w:firstLine="420"/>
        <w:rPr>
          <w:rFonts w:hAnsi="宋体" w:cs="宋体"/>
        </w:rPr>
      </w:pPr>
      <w:r>
        <w:rPr>
          <w:rFonts w:hint="eastAsia" w:hAnsi="宋体" w:cs="宋体"/>
        </w:rPr>
        <w:t>3.3 具备有效的《安全生产许可证》；（提供相关证明材料）</w:t>
      </w:r>
    </w:p>
    <w:p w14:paraId="58AB1753">
      <w:pPr>
        <w:spacing w:line="360" w:lineRule="auto"/>
        <w:ind w:left="60" w:firstLine="420"/>
        <w:rPr>
          <w:rFonts w:hAnsi="宋体" w:cs="宋体"/>
        </w:rPr>
      </w:pPr>
      <w:r>
        <w:rPr>
          <w:rFonts w:hint="eastAsia" w:hAnsi="宋体" w:cs="宋体"/>
        </w:rPr>
        <w:t>3.4 项目经理具有贰级或以上注册建造师资格（机电工程）和有效的安全生产考核合格证书 B证；（提供相关证明材料）</w:t>
      </w:r>
    </w:p>
    <w:p w14:paraId="0864EAB5">
      <w:pPr>
        <w:spacing w:line="360" w:lineRule="auto"/>
        <w:rPr>
          <w:rFonts w:hAnsi="宋体" w:cs="宋体"/>
          <w:b/>
          <w:bCs/>
        </w:rPr>
      </w:pPr>
      <w:r>
        <w:rPr>
          <w:rFonts w:hint="eastAsia" w:hAnsi="宋体" w:cs="宋体"/>
          <w:b/>
          <w:bCs/>
        </w:rPr>
        <w:t>二、其他类似效力要求相关证明材料：</w:t>
      </w:r>
    </w:p>
    <w:p w14:paraId="77C0D6B5">
      <w:pPr>
        <w:tabs>
          <w:tab w:val="left" w:pos="7665"/>
        </w:tabs>
        <w:spacing w:line="360" w:lineRule="auto"/>
        <w:ind w:firstLine="240" w:firstLineChars="100"/>
        <w:jc w:val="left"/>
        <w:rPr>
          <w:rFonts w:hAnsi="宋体" w:cs="宋体"/>
        </w:rPr>
      </w:pPr>
      <w:r>
        <w:rPr>
          <w:rFonts w:hint="eastAsia" w:hAnsi="宋体" w:cs="宋体"/>
        </w:rPr>
        <w:t>（一）法定代表人身份证明书原件（格式见第五章）及法定代表人身份证复印件；</w:t>
      </w:r>
    </w:p>
    <w:p w14:paraId="074113D2">
      <w:pPr>
        <w:tabs>
          <w:tab w:val="left" w:pos="7665"/>
        </w:tabs>
        <w:spacing w:line="360" w:lineRule="auto"/>
        <w:ind w:firstLine="240" w:firstLineChars="100"/>
        <w:jc w:val="left"/>
        <w:rPr>
          <w:rFonts w:hAnsi="宋体" w:cs="宋体"/>
        </w:rPr>
      </w:pPr>
      <w:r>
        <w:rPr>
          <w:rFonts w:hint="eastAsia" w:hAnsi="宋体" w:cs="宋体"/>
        </w:rPr>
        <w:t>（二）法定代表人授权委托书原件（格式见第五章）及授权代表人身份证复印件。</w:t>
      </w:r>
    </w:p>
    <w:p w14:paraId="4B70B155">
      <w:pPr>
        <w:spacing w:line="360" w:lineRule="auto"/>
        <w:ind w:firstLine="120" w:firstLineChars="50"/>
        <w:rPr>
          <w:rFonts w:hAnsi="宋体" w:cs="宋体"/>
          <w:b/>
        </w:rPr>
      </w:pPr>
      <w:r>
        <w:rPr>
          <w:rFonts w:hint="eastAsia" w:hAnsi="宋体" w:cs="宋体"/>
          <w:b/>
        </w:rPr>
        <w:t>注：1.以上提供的所有证件必须是有效证件，均需加盖供应商鲜章；</w:t>
      </w:r>
    </w:p>
    <w:p w14:paraId="7216129E">
      <w:pPr>
        <w:spacing w:line="360" w:lineRule="auto"/>
        <w:ind w:firstLine="602" w:firstLineChars="250"/>
        <w:rPr>
          <w:rFonts w:hAnsi="宋体" w:cs="宋体"/>
          <w:b/>
        </w:rPr>
      </w:pPr>
      <w:r>
        <w:rPr>
          <w:rFonts w:hint="eastAsia" w:hAnsi="宋体" w:cs="宋体"/>
          <w:b/>
        </w:rPr>
        <w:t>2.复印件必须完整、清晰、真实、有效，同时加盖供应商鲜章；</w:t>
      </w:r>
    </w:p>
    <w:p w14:paraId="45449CCB">
      <w:pPr>
        <w:spacing w:line="360" w:lineRule="auto"/>
        <w:ind w:firstLine="602" w:firstLineChars="250"/>
        <w:rPr>
          <w:rFonts w:hAnsi="宋体" w:cs="宋体"/>
          <w:b/>
        </w:rPr>
      </w:pPr>
      <w:r>
        <w:rPr>
          <w:rFonts w:hint="eastAsia" w:hAnsi="宋体" w:cs="宋体"/>
          <w:b/>
        </w:rPr>
        <w:t>3.以上资料是资格审查时需要提供的资料，如提供不全或不实，将自行承担无效磋商的风险。</w:t>
      </w:r>
    </w:p>
    <w:p w14:paraId="4F2A7D6E">
      <w:pPr>
        <w:spacing w:line="360" w:lineRule="auto"/>
        <w:jc w:val="center"/>
        <w:rPr>
          <w:rFonts w:hAnsi="宋体" w:cs="宋体"/>
          <w:sz w:val="36"/>
          <w:szCs w:val="36"/>
        </w:rPr>
      </w:pPr>
    </w:p>
    <w:p w14:paraId="10B0BFA7">
      <w:pPr>
        <w:pStyle w:val="34"/>
        <w:spacing w:line="360" w:lineRule="auto"/>
        <w:rPr>
          <w:rFonts w:cs="宋体" w:asciiTheme="minorEastAsia" w:hAnsiTheme="minorEastAsia" w:eastAsiaTheme="minorEastAsia"/>
          <w:sz w:val="32"/>
          <w:szCs w:val="32"/>
        </w:rPr>
      </w:pPr>
      <w:r>
        <w:rPr>
          <w:rFonts w:hint="eastAsia" w:ascii="宋体" w:hAnsi="宋体" w:cs="宋体"/>
          <w:b w:val="0"/>
          <w:sz w:val="36"/>
          <w:szCs w:val="36"/>
        </w:rPr>
        <w:br w:type="page"/>
      </w:r>
      <w:bookmarkStart w:id="320" w:name="_Toc170477112"/>
      <w:bookmarkStart w:id="321" w:name="_Toc183"/>
      <w:r>
        <w:rPr>
          <w:rFonts w:hint="eastAsia" w:cs="宋体" w:asciiTheme="minorEastAsia" w:hAnsiTheme="minorEastAsia" w:eastAsiaTheme="minorEastAsia"/>
          <w:sz w:val="32"/>
          <w:szCs w:val="32"/>
        </w:rPr>
        <w:t xml:space="preserve">第四章 </w:t>
      </w:r>
      <w:r>
        <w:rPr>
          <w:rFonts w:cs="宋体" w:asciiTheme="minorEastAsia" w:hAnsiTheme="minorEastAsia" w:eastAsiaTheme="minorEastAsia"/>
          <w:sz w:val="32"/>
          <w:szCs w:val="32"/>
        </w:rPr>
        <w:t xml:space="preserve"> </w:t>
      </w:r>
      <w:bookmarkStart w:id="322" w:name="_Toc138168005"/>
      <w:bookmarkStart w:id="323" w:name="_Toc138167929"/>
      <w:r>
        <w:rPr>
          <w:rFonts w:hint="eastAsia" w:cs="宋体" w:asciiTheme="minorEastAsia" w:hAnsiTheme="minorEastAsia" w:eastAsiaTheme="minorEastAsia"/>
          <w:sz w:val="32"/>
          <w:szCs w:val="32"/>
        </w:rPr>
        <w:t>采购项目技术、商务及其他要求</w:t>
      </w:r>
      <w:bookmarkEnd w:id="320"/>
      <w:bookmarkEnd w:id="321"/>
      <w:bookmarkEnd w:id="322"/>
      <w:bookmarkEnd w:id="323"/>
    </w:p>
    <w:bookmarkEnd w:id="314"/>
    <w:p w14:paraId="51FAC80C">
      <w:pPr>
        <w:pStyle w:val="60"/>
        <w:numPr>
          <w:ilvl w:val="1"/>
          <w:numId w:val="0"/>
        </w:numPr>
        <w:spacing w:line="360" w:lineRule="auto"/>
        <w:rPr>
          <w:rFonts w:cs="仿宋"/>
          <w:sz w:val="28"/>
          <w:szCs w:val="28"/>
        </w:rPr>
      </w:pPr>
      <w:bookmarkStart w:id="324" w:name="_Toc170477113"/>
      <w:bookmarkStart w:id="325" w:name="_Toc9515"/>
      <w:bookmarkStart w:id="326" w:name="_Toc13563832"/>
      <w:bookmarkStart w:id="327" w:name="_Toc13564316"/>
      <w:bookmarkStart w:id="328" w:name="_Toc11243001"/>
      <w:bookmarkStart w:id="329" w:name="_Toc415043681"/>
      <w:bookmarkStart w:id="330" w:name="_Toc65769960"/>
      <w:bookmarkStart w:id="331" w:name="_Toc11231752"/>
      <w:r>
        <w:rPr>
          <w:rFonts w:hint="eastAsia" w:cs="仿宋"/>
          <w:sz w:val="28"/>
          <w:szCs w:val="28"/>
        </w:rPr>
        <w:t>一、项目概述</w:t>
      </w:r>
      <w:bookmarkEnd w:id="324"/>
      <w:bookmarkEnd w:id="325"/>
    </w:p>
    <w:p w14:paraId="27053D2A">
      <w:pPr>
        <w:spacing w:line="360" w:lineRule="auto"/>
        <w:ind w:firstLine="470" w:firstLineChars="196"/>
      </w:pPr>
      <w:bookmarkStart w:id="332" w:name="_Toc12402"/>
      <w:bookmarkStart w:id="333" w:name="_Toc28644"/>
      <w:bookmarkStart w:id="334" w:name="_Toc7298"/>
      <w:bookmarkStart w:id="335" w:name="_Toc2378"/>
      <w:bookmarkStart w:id="336" w:name="_Toc30662"/>
      <w:bookmarkStart w:id="337" w:name="_Toc21974"/>
      <w:bookmarkStart w:id="338" w:name="_Toc14856"/>
      <w:bookmarkStart w:id="339" w:name="_Toc13339"/>
      <w:bookmarkStart w:id="340" w:name="_Toc24657"/>
      <w:bookmarkStart w:id="341" w:name="_Toc1441"/>
      <w:bookmarkStart w:id="342" w:name="_Toc18925"/>
      <w:bookmarkStart w:id="343" w:name="_Toc32334"/>
      <w:bookmarkStart w:id="344" w:name="_Toc170477114"/>
      <w:bookmarkStart w:id="345" w:name="_Toc2567_WPSOffice_Level2"/>
      <w:bookmarkStart w:id="346" w:name="_Toc12968"/>
      <w:bookmarkStart w:id="347" w:name="_Toc25039"/>
      <w:r>
        <w:rPr>
          <w:rFonts w:hint="eastAsia"/>
          <w:bCs/>
          <w:color w:val="000000"/>
        </w:rPr>
        <w:t>（一）项目名称：</w:t>
      </w:r>
      <w:bookmarkEnd w:id="332"/>
      <w:bookmarkEnd w:id="333"/>
      <w:bookmarkEnd w:id="334"/>
      <w:r>
        <w:rPr>
          <w:rFonts w:hint="eastAsia" w:hAnsi="宋体" w:cs="宋体"/>
          <w:bCs/>
          <w:szCs w:val="24"/>
          <w:u w:val="single"/>
        </w:rPr>
        <w:t>仙海城乡供水一体化建设项目取水口10KV用电工程-施工采购。</w:t>
      </w:r>
    </w:p>
    <w:p w14:paraId="5E9920DC">
      <w:pPr>
        <w:snapToGrid w:val="0"/>
        <w:spacing w:line="360" w:lineRule="auto"/>
        <w:ind w:firstLine="480" w:firstLineChars="200"/>
        <w:rPr>
          <w:rFonts w:hAnsi="宋体" w:cs="宋体"/>
          <w:bCs/>
          <w:szCs w:val="24"/>
        </w:rPr>
      </w:pPr>
      <w:r>
        <w:rPr>
          <w:rFonts w:hint="eastAsia"/>
          <w:bCs/>
          <w:color w:val="000000"/>
        </w:rPr>
        <w:t>（二）项目采购最高投标限价：</w:t>
      </w:r>
      <w:r>
        <w:rPr>
          <w:rFonts w:hint="eastAsia" w:hAnsi="宋体" w:cs="宋体"/>
          <w:bCs/>
          <w:szCs w:val="24"/>
        </w:rPr>
        <w:t>946914.01元。</w:t>
      </w:r>
    </w:p>
    <w:p w14:paraId="23426274">
      <w:pPr>
        <w:snapToGrid w:val="0"/>
        <w:spacing w:line="360" w:lineRule="auto"/>
        <w:ind w:firstLine="480" w:firstLineChars="200"/>
        <w:rPr>
          <w:rFonts w:cs="仿宋"/>
          <w:kern w:val="2"/>
          <w:szCs w:val="24"/>
        </w:rPr>
      </w:pPr>
      <w:r>
        <w:rPr>
          <w:rFonts w:hint="eastAsia"/>
          <w:bCs/>
          <w:color w:val="000000"/>
        </w:rPr>
        <w:t>（三）基本内容：</w:t>
      </w:r>
      <w:bookmarkEnd w:id="335"/>
      <w:bookmarkEnd w:id="336"/>
      <w:bookmarkEnd w:id="337"/>
      <w:bookmarkEnd w:id="338"/>
      <w:bookmarkEnd w:id="339"/>
      <w:bookmarkEnd w:id="340"/>
      <w:bookmarkEnd w:id="341"/>
      <w:bookmarkEnd w:id="342"/>
      <w:r>
        <w:rPr>
          <w:rFonts w:hint="eastAsia" w:hAnsi="宋体" w:cs="宋体"/>
          <w:szCs w:val="24"/>
        </w:rPr>
        <w:t>新建高压电缆通道、敷设ZA-YJV22-8.7/10-3*185 220米;修建电缆井7口;安装箱变200KVA;电缆分支箱1台;新立15米电杆1根;安装隔离开关、避雷器各一组;真空开关、高压组合式互感器、计量箱各1台;安装电能表;负控装置;制作接地网及办理用电手续等。</w:t>
      </w:r>
    </w:p>
    <w:bookmarkEnd w:id="343"/>
    <w:bookmarkEnd w:id="344"/>
    <w:p w14:paraId="2A50A4C4">
      <w:pPr>
        <w:pStyle w:val="60"/>
        <w:numPr>
          <w:ilvl w:val="0"/>
          <w:numId w:val="0"/>
        </w:numPr>
        <w:spacing w:line="360" w:lineRule="auto"/>
        <w:rPr>
          <w:bCs/>
          <w:color w:val="000000"/>
          <w:sz w:val="28"/>
          <w:szCs w:val="28"/>
        </w:rPr>
      </w:pPr>
      <w:bookmarkStart w:id="348" w:name="_Toc19360"/>
      <w:r>
        <w:rPr>
          <w:rFonts w:hint="eastAsia" w:cs="仿宋"/>
          <w:sz w:val="28"/>
          <w:szCs w:val="28"/>
        </w:rPr>
        <w:t>二、</w:t>
      </w:r>
      <w:r>
        <w:rPr>
          <w:rFonts w:hint="eastAsia"/>
          <w:bCs/>
          <w:color w:val="000000"/>
          <w:sz w:val="28"/>
          <w:szCs w:val="28"/>
        </w:rPr>
        <w:t>采购工程量清单及技术要求</w:t>
      </w:r>
      <w:bookmarkEnd w:id="348"/>
    </w:p>
    <w:p w14:paraId="00099E1B">
      <w:pPr>
        <w:snapToGrid w:val="0"/>
        <w:spacing w:line="360" w:lineRule="auto"/>
        <w:ind w:firstLine="480" w:firstLineChars="200"/>
        <w:rPr>
          <w:bCs/>
          <w:color w:val="0000FF"/>
        </w:rPr>
      </w:pPr>
      <w:r>
        <w:rPr>
          <w:rFonts w:hint="eastAsia"/>
          <w:bCs/>
          <w:color w:val="0000FF"/>
        </w:rPr>
        <w:t xml:space="preserve">（一）设计图纸：另册                       </w:t>
      </w:r>
    </w:p>
    <w:p w14:paraId="3F206DDF">
      <w:pPr>
        <w:snapToGrid w:val="0"/>
        <w:spacing w:line="360" w:lineRule="auto"/>
        <w:ind w:firstLine="480" w:firstLineChars="200"/>
        <w:rPr>
          <w:bCs/>
          <w:color w:val="000000"/>
        </w:rPr>
      </w:pPr>
      <w:r>
        <w:rPr>
          <w:rFonts w:hint="eastAsia"/>
          <w:bCs/>
          <w:color w:val="0000FF"/>
        </w:rPr>
        <w:t xml:space="preserve">（二）工程量清单：另册 </w:t>
      </w:r>
      <w:r>
        <w:rPr>
          <w:rFonts w:hint="eastAsia"/>
          <w:bCs/>
          <w:color w:val="000000"/>
        </w:rPr>
        <w:t xml:space="preserve">                                </w:t>
      </w:r>
    </w:p>
    <w:p w14:paraId="7C644EB1">
      <w:pPr>
        <w:snapToGrid w:val="0"/>
        <w:spacing w:line="360" w:lineRule="auto"/>
        <w:ind w:firstLine="480" w:firstLineChars="200"/>
        <w:rPr>
          <w:bCs/>
          <w:color w:val="000000"/>
        </w:rPr>
      </w:pPr>
      <w:r>
        <w:rPr>
          <w:rFonts w:hint="eastAsia"/>
          <w:bCs/>
          <w:color w:val="000000"/>
        </w:rPr>
        <w:t>（三）施工技术要求：供应商施工必须按经审核批准的施工组织设计实施，并符合施工规范及验收标准的相关要求。</w:t>
      </w:r>
    </w:p>
    <w:bookmarkEnd w:id="345"/>
    <w:bookmarkEnd w:id="346"/>
    <w:bookmarkEnd w:id="347"/>
    <w:p w14:paraId="7F4E1B94">
      <w:pPr>
        <w:spacing w:line="360" w:lineRule="auto"/>
        <w:outlineLvl w:val="1"/>
        <w:rPr>
          <w:rFonts w:hAnsi="宋体" w:cs="仿宋"/>
          <w:b/>
          <w:kern w:val="2"/>
          <w:sz w:val="28"/>
          <w:szCs w:val="28"/>
        </w:rPr>
      </w:pPr>
      <w:r>
        <w:rPr>
          <w:rFonts w:hint="eastAsia" w:hAnsi="宋体" w:cs="仿宋"/>
          <w:b/>
          <w:kern w:val="2"/>
          <w:sz w:val="28"/>
          <w:szCs w:val="28"/>
        </w:rPr>
        <w:t>★三、商务要求</w:t>
      </w:r>
      <w:bookmarkStart w:id="349" w:name="_Toc10480"/>
      <w:bookmarkStart w:id="350" w:name="_Toc25288"/>
      <w:bookmarkStart w:id="351" w:name="_Toc30646"/>
    </w:p>
    <w:bookmarkEnd w:id="349"/>
    <w:bookmarkEnd w:id="350"/>
    <w:bookmarkEnd w:id="351"/>
    <w:p w14:paraId="32CED7A8">
      <w:pPr>
        <w:pStyle w:val="61"/>
        <w:spacing w:line="360" w:lineRule="auto"/>
        <w:ind w:firstLine="480" w:firstLineChars="200"/>
        <w:jc w:val="both"/>
        <w:rPr>
          <w:rFonts w:cs="仿宋"/>
        </w:rPr>
      </w:pPr>
      <w:r>
        <w:rPr>
          <w:rFonts w:hint="eastAsia" w:cs="仿宋"/>
        </w:rPr>
        <w:t>（一）</w:t>
      </w:r>
      <w:r>
        <w:rPr>
          <w:rFonts w:hint="eastAsia" w:cs="宋体"/>
          <w:color w:val="000000"/>
        </w:rPr>
        <w:t>施工</w:t>
      </w:r>
      <w:r>
        <w:rPr>
          <w:rFonts w:hint="eastAsia" w:cs="仿宋"/>
        </w:rPr>
        <w:t>工期：30天。</w:t>
      </w:r>
    </w:p>
    <w:p w14:paraId="4819D143">
      <w:pPr>
        <w:pStyle w:val="61"/>
        <w:spacing w:line="360" w:lineRule="auto"/>
        <w:ind w:firstLine="480" w:firstLineChars="200"/>
        <w:jc w:val="both"/>
        <w:rPr>
          <w:rFonts w:cs="仿宋"/>
        </w:rPr>
      </w:pPr>
      <w:r>
        <w:rPr>
          <w:rFonts w:hint="eastAsia" w:cs="仿宋"/>
        </w:rPr>
        <w:t>（二）施工地点：绵阳市仙海区。</w:t>
      </w:r>
    </w:p>
    <w:p w14:paraId="2A9E2AB0">
      <w:pPr>
        <w:pStyle w:val="61"/>
        <w:spacing w:line="360" w:lineRule="auto"/>
        <w:ind w:firstLine="480" w:firstLineChars="200"/>
        <w:jc w:val="both"/>
        <w:rPr>
          <w:rFonts w:cs="仿宋"/>
        </w:rPr>
      </w:pPr>
      <w:r>
        <w:rPr>
          <w:rFonts w:hint="eastAsia"/>
        </w:rPr>
        <w:t>（三）付款</w:t>
      </w:r>
      <w:r>
        <w:rPr>
          <w:rFonts w:hint="eastAsia" w:cs="仿宋"/>
        </w:rPr>
        <w:t>方式：</w:t>
      </w:r>
    </w:p>
    <w:p w14:paraId="79A82DB0">
      <w:pPr>
        <w:pStyle w:val="61"/>
        <w:spacing w:line="360" w:lineRule="auto"/>
        <w:ind w:firstLine="480" w:firstLineChars="200"/>
        <w:jc w:val="both"/>
        <w:rPr>
          <w:rFonts w:cs="仿宋"/>
        </w:rPr>
      </w:pPr>
      <w:r>
        <w:rPr>
          <w:rFonts w:hint="eastAsia" w:cs="仿宋"/>
        </w:rPr>
        <w:t>1.项目工程竣工验收合格</w:t>
      </w:r>
      <w:r>
        <w:rPr>
          <w:rFonts w:hint="eastAsia" w:cs="仿宋"/>
          <w:color w:val="FF0000"/>
        </w:rPr>
        <w:t>后60日内支</w:t>
      </w:r>
      <w:r>
        <w:rPr>
          <w:rFonts w:hint="eastAsia" w:cs="仿宋"/>
        </w:rPr>
        <w:t>付合同暂定金额的80%；</w:t>
      </w:r>
    </w:p>
    <w:p w14:paraId="34DB04E3">
      <w:pPr>
        <w:pStyle w:val="61"/>
        <w:spacing w:line="360" w:lineRule="auto"/>
        <w:ind w:firstLine="480" w:firstLineChars="200"/>
        <w:jc w:val="both"/>
        <w:rPr>
          <w:rFonts w:cs="仿宋"/>
        </w:rPr>
      </w:pPr>
      <w:r>
        <w:rPr>
          <w:rFonts w:hint="eastAsia" w:cs="仿宋"/>
        </w:rPr>
        <w:t>2.竣工结算审计完成后30个工作日内：当承包人选择除直接从工程结算价款中扣留质保金之外的其它方式缴纳质保金时，支付至审定金额的100%；当承包人选择从工程结算价款中直接扣留质保金时，支付至审定金额的97%，剩余的3%作为质保金扣留；缺陷责任期(24个月)满且复检合格后，30个工作日内无息退还。</w:t>
      </w:r>
    </w:p>
    <w:p w14:paraId="108F9FA3">
      <w:pPr>
        <w:pStyle w:val="61"/>
        <w:spacing w:line="360" w:lineRule="auto"/>
        <w:ind w:firstLine="480" w:firstLineChars="200"/>
        <w:jc w:val="both"/>
      </w:pPr>
      <w:r>
        <w:rPr>
          <w:rFonts w:hint="eastAsia"/>
        </w:rPr>
        <w:t>（四）验收方法和标准</w:t>
      </w:r>
    </w:p>
    <w:p w14:paraId="20C79E38">
      <w:pPr>
        <w:pStyle w:val="61"/>
        <w:spacing w:line="360" w:lineRule="auto"/>
        <w:ind w:firstLine="480" w:firstLineChars="200"/>
        <w:jc w:val="both"/>
        <w:rPr>
          <w:rFonts w:cs="仿宋"/>
        </w:rPr>
      </w:pPr>
      <w:r>
        <w:rPr>
          <w:rFonts w:hint="eastAsia"/>
        </w:rPr>
        <w:t>1、验收由采购人组织，供</w:t>
      </w:r>
      <w:r>
        <w:rPr>
          <w:rFonts w:hint="eastAsia" w:cs="仿宋"/>
        </w:rPr>
        <w:t>应商配合进行：</w:t>
      </w:r>
    </w:p>
    <w:p w14:paraId="0E448064">
      <w:pPr>
        <w:pStyle w:val="61"/>
        <w:spacing w:line="360" w:lineRule="auto"/>
        <w:ind w:firstLine="480" w:firstLineChars="200"/>
        <w:jc w:val="both"/>
        <w:rPr>
          <w:rFonts w:cs="仿宋"/>
          <w:color w:val="FF0000"/>
        </w:rPr>
      </w:pPr>
      <w:r>
        <w:rPr>
          <w:rFonts w:hint="eastAsia" w:cs="仿宋"/>
        </w:rPr>
        <w:t xml:space="preserve"> 验收标准：按国家有关规定以及采购文件的质量要求和技术指标、供应商的响应文件及承诺与采购合同约定标准进行验收；双方如对质量要求和技术指标的约定标准有相互抵触或异议的事项，由采购人按质量要求和技术指标比较优胜的原则确定该项的约定标准进行验收；</w:t>
      </w:r>
      <w:r>
        <w:rPr>
          <w:rFonts w:hint="eastAsia" w:cs="仿宋"/>
          <w:color w:val="0000FF"/>
        </w:rPr>
        <w:t>其他未尽事宜参照《财政部关于进一步加强政府采购需求和履约验收管理的指导意见》(财库(2016)205号)及招标文件验收相关要求进行。</w:t>
      </w:r>
    </w:p>
    <w:p w14:paraId="5D7B924C">
      <w:pPr>
        <w:pStyle w:val="61"/>
        <w:numPr>
          <w:ilvl w:val="0"/>
          <w:numId w:val="4"/>
        </w:numPr>
        <w:spacing w:line="360" w:lineRule="auto"/>
        <w:ind w:firstLine="480" w:firstLineChars="200"/>
        <w:jc w:val="both"/>
        <w:rPr>
          <w:rFonts w:cs="仿宋"/>
        </w:rPr>
      </w:pPr>
      <w:r>
        <w:rPr>
          <w:rFonts w:hint="eastAsia" w:cs="仿宋"/>
        </w:rPr>
        <w:t>缺陷责任期的期限及计算方式：24个月。</w:t>
      </w:r>
      <w:r>
        <w:rPr>
          <w:rFonts w:cs="仿宋"/>
        </w:rPr>
        <w:t>缺陷责任期从工程通过竣工验收之日起计。由于</w:t>
      </w:r>
      <w:r>
        <w:rPr>
          <w:rFonts w:hint="eastAsia" w:cs="仿宋"/>
        </w:rPr>
        <w:t>供应商</w:t>
      </w:r>
      <w:r>
        <w:rPr>
          <w:rFonts w:cs="仿宋"/>
        </w:rPr>
        <w:t>原因导致工程无法按规定期限进行竣工验收的，缺陷责任期从实际通过竣工验收之日起计。由于</w:t>
      </w:r>
      <w:r>
        <w:rPr>
          <w:rFonts w:hint="eastAsia" w:cs="仿宋"/>
        </w:rPr>
        <w:t>采购人</w:t>
      </w:r>
      <w:r>
        <w:rPr>
          <w:rFonts w:cs="仿宋"/>
        </w:rPr>
        <w:t>原因导致工程无法按规定期限进行竣工验收的，在</w:t>
      </w:r>
      <w:r>
        <w:rPr>
          <w:rFonts w:hint="eastAsia" w:cs="仿宋"/>
        </w:rPr>
        <w:t>供应商</w:t>
      </w:r>
      <w:r>
        <w:rPr>
          <w:rFonts w:cs="仿宋"/>
        </w:rPr>
        <w:t>提交竣工验收报告90天后，工程自动进入缺陷责任期。</w:t>
      </w:r>
    </w:p>
    <w:p w14:paraId="03732B3E">
      <w:pPr>
        <w:pStyle w:val="19"/>
        <w:spacing w:line="440" w:lineRule="exact"/>
        <w:ind w:left="0" w:leftChars="0"/>
      </w:pPr>
      <w:r>
        <w:rPr>
          <w:rFonts w:hint="eastAsia"/>
        </w:rPr>
        <w:t xml:space="preserve">    </w:t>
      </w:r>
    </w:p>
    <w:p w14:paraId="4B4E8A25">
      <w:pPr>
        <w:pStyle w:val="60"/>
        <w:numPr>
          <w:ilvl w:val="1"/>
          <w:numId w:val="0"/>
        </w:numPr>
        <w:spacing w:line="360" w:lineRule="auto"/>
        <w:rPr>
          <w:rFonts w:cs="仿宋"/>
          <w:sz w:val="28"/>
          <w:szCs w:val="28"/>
        </w:rPr>
      </w:pPr>
      <w:bookmarkStart w:id="352" w:name="_Toc17044"/>
      <w:r>
        <w:rPr>
          <w:rFonts w:hint="eastAsia" w:cs="仿宋"/>
          <w:sz w:val="28"/>
          <w:szCs w:val="28"/>
        </w:rPr>
        <w:t>四、服务要求</w:t>
      </w:r>
      <w:bookmarkEnd w:id="352"/>
    </w:p>
    <w:p w14:paraId="23E8B523">
      <w:pPr>
        <w:spacing w:line="360" w:lineRule="auto"/>
        <w:ind w:firstLine="480" w:firstLineChars="200"/>
        <w:rPr>
          <w:color w:val="000000"/>
        </w:rPr>
      </w:pPr>
      <w:r>
        <w:rPr>
          <w:rFonts w:hint="eastAsia"/>
          <w:color w:val="000000"/>
        </w:rPr>
        <w:t>（一）成交供应商必须严格按施工图纸及技术说明进行施工，未经采购人同意不得修改。如确因施工原因需修改时，需经过采购人同意，修改后方可施工。</w:t>
      </w:r>
    </w:p>
    <w:p w14:paraId="799D902E">
      <w:pPr>
        <w:spacing w:line="360" w:lineRule="auto"/>
        <w:ind w:firstLine="480" w:firstLineChars="200"/>
        <w:rPr>
          <w:color w:val="000000"/>
        </w:rPr>
      </w:pPr>
      <w:r>
        <w:rPr>
          <w:rFonts w:hint="eastAsia"/>
          <w:color w:val="000000"/>
        </w:rPr>
        <w:t>（二）项目完成后，成交供应商应将项目有关的全部资料，包括技术文档、施工图纸等资料按规定进行移交。</w:t>
      </w:r>
    </w:p>
    <w:p w14:paraId="4968FB5D">
      <w:pPr>
        <w:spacing w:line="360" w:lineRule="auto"/>
        <w:ind w:firstLine="480" w:firstLineChars="200"/>
        <w:rPr>
          <w:color w:val="000000"/>
        </w:rPr>
      </w:pPr>
      <w:r>
        <w:rPr>
          <w:rFonts w:hint="eastAsia"/>
          <w:color w:val="000000"/>
        </w:rPr>
        <w:t>（三）承包人在本工程中用的所有材料都应满足设计、国家现行相关质量标准的要求。</w:t>
      </w:r>
    </w:p>
    <w:p w14:paraId="25B3ABB1">
      <w:pPr>
        <w:spacing w:line="360" w:lineRule="auto"/>
        <w:ind w:firstLine="480" w:firstLineChars="200"/>
        <w:rPr>
          <w:color w:val="000000"/>
        </w:rPr>
      </w:pPr>
      <w:r>
        <w:rPr>
          <w:rFonts w:hint="eastAsia"/>
          <w:color w:val="000000"/>
        </w:rPr>
        <w:t>（四）工程质量要求：国家和省市相关设计及施工验收标准、规范及规程合格标准，并一次性通过政府相关部门的验收。</w:t>
      </w:r>
    </w:p>
    <w:p w14:paraId="5C1D2255">
      <w:pPr>
        <w:spacing w:line="360" w:lineRule="auto"/>
        <w:ind w:firstLine="480" w:firstLineChars="200"/>
        <w:rPr>
          <w:color w:val="000000"/>
        </w:rPr>
      </w:pPr>
      <w:r>
        <w:rPr>
          <w:rFonts w:hint="eastAsia"/>
          <w:color w:val="000000"/>
        </w:rPr>
        <w:t>★（五）安全责任：在运输、施工等整个工程施工期间，要重点做好施工组织和安全管理，若因施工现场管理不到位、违规操作等施工方自身原因导致的安全事故，由施工方自行承诺相应的责任。</w:t>
      </w:r>
      <w:r>
        <w:rPr>
          <w:rFonts w:hint="eastAsia"/>
          <w:b/>
          <w:bCs/>
          <w:color w:val="000000"/>
        </w:rPr>
        <w:t>（需提供自行承担安全责任的书面承诺函原件，未响应或未提供按无效响应处理，承诺函格式自拟。）</w:t>
      </w:r>
    </w:p>
    <w:p w14:paraId="0D86249C">
      <w:pPr>
        <w:spacing w:line="360" w:lineRule="auto"/>
        <w:ind w:firstLine="480" w:firstLineChars="200"/>
      </w:pPr>
    </w:p>
    <w:p w14:paraId="6C7D97DE">
      <w:pPr>
        <w:spacing w:line="480" w:lineRule="auto"/>
        <w:ind w:firstLine="482" w:firstLineChars="200"/>
        <w:rPr>
          <w:rFonts w:hAnsi="宋体" w:cs="宋体"/>
          <w:b/>
          <w:szCs w:val="24"/>
        </w:rPr>
      </w:pPr>
      <w:r>
        <w:rPr>
          <w:rFonts w:hint="eastAsia" w:cs="宋体"/>
          <w:b/>
          <w:szCs w:val="24"/>
        </w:rPr>
        <w:t>说明：1.磋商文件中如有打“</w:t>
      </w:r>
      <w:r>
        <w:rPr>
          <w:rFonts w:hint="eastAsia"/>
          <w:bCs/>
        </w:rPr>
        <w:t>★</w:t>
      </w:r>
      <w:r>
        <w:rPr>
          <w:rFonts w:hint="eastAsia" w:cs="宋体"/>
          <w:b/>
          <w:szCs w:val="24"/>
        </w:rPr>
        <w:t>”号条款为实质性条款，供应商若有任何一条负偏离或不满足则导致响应无效。</w:t>
      </w:r>
      <w:r>
        <w:rPr>
          <w:rFonts w:hAnsi="宋体" w:cs="宋体"/>
          <w:szCs w:val="24"/>
        </w:rPr>
        <w:br w:type="page"/>
      </w:r>
    </w:p>
    <w:bookmarkEnd w:id="326"/>
    <w:bookmarkEnd w:id="327"/>
    <w:bookmarkEnd w:id="328"/>
    <w:bookmarkEnd w:id="329"/>
    <w:bookmarkEnd w:id="330"/>
    <w:bookmarkEnd w:id="331"/>
    <w:p w14:paraId="7C01A727">
      <w:pPr>
        <w:pStyle w:val="34"/>
        <w:spacing w:line="360" w:lineRule="auto"/>
        <w:rPr>
          <w:rFonts w:cs="宋体" w:asciiTheme="minorEastAsia" w:hAnsiTheme="minorEastAsia" w:eastAsiaTheme="minorEastAsia"/>
          <w:sz w:val="32"/>
          <w:szCs w:val="32"/>
        </w:rPr>
      </w:pPr>
      <w:bookmarkStart w:id="353" w:name="_Toc170477117"/>
      <w:bookmarkStart w:id="354" w:name="_Toc138168009"/>
      <w:bookmarkStart w:id="355" w:name="_Toc11428"/>
      <w:bookmarkStart w:id="356" w:name="_Toc138167933"/>
      <w:r>
        <w:rPr>
          <w:rFonts w:hint="eastAsia" w:cs="宋体" w:asciiTheme="minorEastAsia" w:hAnsiTheme="minorEastAsia" w:eastAsiaTheme="minorEastAsia"/>
          <w:sz w:val="32"/>
          <w:szCs w:val="32"/>
        </w:rPr>
        <w:t>第五章  响应文件格式</w:t>
      </w:r>
      <w:bookmarkEnd w:id="315"/>
      <w:bookmarkEnd w:id="353"/>
      <w:bookmarkEnd w:id="354"/>
      <w:bookmarkEnd w:id="355"/>
      <w:bookmarkEnd w:id="356"/>
      <w:bookmarkStart w:id="357" w:name="_Toc330829045"/>
      <w:bookmarkStart w:id="358" w:name="_Toc19279"/>
      <w:bookmarkStart w:id="359" w:name="_Toc9125"/>
    </w:p>
    <w:p w14:paraId="188E910F">
      <w:pPr>
        <w:spacing w:line="360" w:lineRule="auto"/>
        <w:ind w:firstLine="504" w:firstLineChars="200"/>
        <w:rPr>
          <w:rFonts w:cs="宋体"/>
          <w:spacing w:val="6"/>
          <w:szCs w:val="24"/>
        </w:rPr>
      </w:pPr>
      <w:r>
        <w:rPr>
          <w:rFonts w:hint="eastAsia" w:cs="宋体"/>
          <w:spacing w:val="6"/>
          <w:szCs w:val="24"/>
        </w:rPr>
        <w:t>一、本章所制响应文件格式，除格式中明确将该格式作为实质性要求的，一律不具有强制性。</w:t>
      </w:r>
    </w:p>
    <w:p w14:paraId="0581A912">
      <w:pPr>
        <w:spacing w:line="360" w:lineRule="auto"/>
        <w:ind w:firstLine="504" w:firstLineChars="200"/>
        <w:rPr>
          <w:rFonts w:cs="宋体"/>
          <w:spacing w:val="6"/>
          <w:szCs w:val="24"/>
        </w:rPr>
      </w:pPr>
      <w:r>
        <w:rPr>
          <w:rFonts w:hint="eastAsia" w:cs="宋体"/>
          <w:spacing w:val="6"/>
          <w:szCs w:val="24"/>
        </w:rPr>
        <w:t>二、本章所制响应文件格式有关表格中的备注栏，由供应商根据自身响应情况作解释性说明，不作为必填项。</w:t>
      </w:r>
    </w:p>
    <w:p w14:paraId="6447030E">
      <w:pPr>
        <w:spacing w:line="360" w:lineRule="auto"/>
        <w:ind w:firstLine="504" w:firstLineChars="200"/>
        <w:rPr>
          <w:rFonts w:cs="宋体"/>
          <w:spacing w:val="6"/>
          <w:szCs w:val="24"/>
        </w:rPr>
      </w:pPr>
      <w:r>
        <w:rPr>
          <w:rFonts w:hint="eastAsia" w:cs="宋体"/>
          <w:spacing w:val="6"/>
          <w:szCs w:val="24"/>
        </w:rPr>
        <w:t>三、本章所制响应文件格式中需要填写的相关内容事项，可能会与本招标项目无关，在不改变响应文件原义、不影响本项目招标需求的情况下，供应商可以不予填写，但应当注明。</w:t>
      </w:r>
    </w:p>
    <w:p w14:paraId="27398E88">
      <w:pPr>
        <w:pStyle w:val="8"/>
        <w:spacing w:line="360" w:lineRule="auto"/>
        <w:jc w:val="center"/>
        <w:rPr>
          <w:rFonts w:ascii="新宋体" w:hAnsi="新宋体" w:eastAsia="新宋体" w:cs="新宋体"/>
          <w:bCs w:val="0"/>
          <w:sz w:val="24"/>
          <w:szCs w:val="24"/>
        </w:rPr>
      </w:pPr>
    </w:p>
    <w:p w14:paraId="5F4811BA">
      <w:pPr>
        <w:pStyle w:val="8"/>
        <w:spacing w:line="360" w:lineRule="auto"/>
        <w:jc w:val="center"/>
        <w:rPr>
          <w:rFonts w:ascii="宋体" w:hAnsi="宋体" w:eastAsia="宋体" w:cs="宋体"/>
          <w:bCs w:val="0"/>
          <w:sz w:val="24"/>
          <w:szCs w:val="24"/>
        </w:rPr>
      </w:pPr>
      <w:bookmarkStart w:id="360" w:name="_Toc20880"/>
      <w:bookmarkStart w:id="361" w:name="_Toc5785"/>
      <w:r>
        <w:rPr>
          <w:rFonts w:ascii="新宋体" w:hAnsi="新宋体" w:eastAsia="新宋体" w:cs="新宋体"/>
          <w:szCs w:val="24"/>
        </w:rPr>
        <w:br w:type="page"/>
      </w:r>
      <w:bookmarkEnd w:id="360"/>
      <w:bookmarkEnd w:id="361"/>
    </w:p>
    <w:bookmarkEnd w:id="357"/>
    <w:bookmarkEnd w:id="358"/>
    <w:bookmarkEnd w:id="359"/>
    <w:p w14:paraId="0139D105">
      <w:pPr>
        <w:pStyle w:val="3"/>
        <w:spacing w:line="360" w:lineRule="auto"/>
        <w:rPr>
          <w:rFonts w:ascii="宋体" w:eastAsia="宋体"/>
          <w:sz w:val="36"/>
          <w:szCs w:val="36"/>
        </w:rPr>
      </w:pPr>
      <w:bookmarkStart w:id="362" w:name="_Toc170477118"/>
      <w:bookmarkStart w:id="363" w:name="_Toc138167934"/>
      <w:bookmarkStart w:id="364" w:name="_Toc137714846"/>
      <w:bookmarkStart w:id="365" w:name="_Toc138168010"/>
      <w:bookmarkStart w:id="366" w:name="_Toc14227"/>
      <w:r>
        <w:rPr>
          <w:rFonts w:hint="eastAsia" w:ascii="宋体" w:eastAsia="宋体"/>
          <w:sz w:val="36"/>
          <w:szCs w:val="36"/>
        </w:rPr>
        <w:t>第一部分  “资格性响应文件”格式</w:t>
      </w:r>
      <w:bookmarkEnd w:id="362"/>
      <w:bookmarkEnd w:id="363"/>
      <w:bookmarkEnd w:id="364"/>
      <w:bookmarkEnd w:id="365"/>
      <w:bookmarkEnd w:id="366"/>
    </w:p>
    <w:p w14:paraId="721ADFCB">
      <w:pPr>
        <w:spacing w:line="360" w:lineRule="auto"/>
        <w:rPr>
          <w:rFonts w:hAnsi="宋体" w:cs="宋体"/>
          <w:szCs w:val="24"/>
        </w:rPr>
      </w:pPr>
    </w:p>
    <w:p w14:paraId="5E302EAF">
      <w:pPr>
        <w:jc w:val="right"/>
        <w:rPr>
          <w:rFonts w:cs="宋体"/>
          <w:b/>
          <w:sz w:val="36"/>
        </w:rPr>
      </w:pPr>
      <w:r>
        <w:rPr>
          <w:rFonts w:hint="eastAsia" w:cs="宋体"/>
          <w:b/>
          <w:sz w:val="36"/>
        </w:rPr>
        <w:t>（正本/副本）</w:t>
      </w:r>
    </w:p>
    <w:p w14:paraId="0D590485">
      <w:pPr>
        <w:spacing w:line="360" w:lineRule="auto"/>
        <w:rPr>
          <w:rFonts w:hAnsi="宋体" w:cs="宋体"/>
          <w:szCs w:val="24"/>
        </w:rPr>
      </w:pPr>
    </w:p>
    <w:p w14:paraId="624BE859">
      <w:pPr>
        <w:pStyle w:val="8"/>
        <w:spacing w:line="360" w:lineRule="auto"/>
        <w:jc w:val="center"/>
        <w:rPr>
          <w:rFonts w:ascii="宋体" w:hAnsi="宋体" w:eastAsia="宋体" w:cs="宋体"/>
          <w:b/>
          <w:bCs w:val="0"/>
          <w:sz w:val="44"/>
          <w:szCs w:val="44"/>
        </w:rPr>
      </w:pPr>
    </w:p>
    <w:p w14:paraId="61749173">
      <w:pPr>
        <w:pStyle w:val="8"/>
        <w:spacing w:line="360" w:lineRule="auto"/>
        <w:jc w:val="center"/>
        <w:rPr>
          <w:rFonts w:ascii="宋体" w:hAnsi="宋体" w:eastAsia="宋体" w:cs="宋体"/>
          <w:b/>
          <w:bCs w:val="0"/>
          <w:sz w:val="72"/>
          <w:szCs w:val="72"/>
        </w:rPr>
      </w:pPr>
      <w:r>
        <w:rPr>
          <w:rFonts w:hint="eastAsia" w:ascii="宋体" w:hAnsi="宋体" w:eastAsia="宋体" w:cs="宋体"/>
          <w:b/>
          <w:bCs w:val="0"/>
          <w:sz w:val="72"/>
          <w:szCs w:val="72"/>
        </w:rPr>
        <w:t>资格性响应文件</w:t>
      </w:r>
    </w:p>
    <w:p w14:paraId="513EA2FF"/>
    <w:p w14:paraId="3470F130">
      <w:pPr>
        <w:spacing w:line="360" w:lineRule="auto"/>
        <w:jc w:val="center"/>
        <w:rPr>
          <w:rFonts w:hAnsi="宋体" w:cs="宋体"/>
          <w:spacing w:val="78"/>
          <w:szCs w:val="24"/>
        </w:rPr>
      </w:pPr>
    </w:p>
    <w:p w14:paraId="20701706">
      <w:pPr>
        <w:spacing w:line="360" w:lineRule="auto"/>
        <w:jc w:val="center"/>
        <w:rPr>
          <w:rFonts w:hAnsi="宋体" w:cs="宋体"/>
          <w:spacing w:val="78"/>
          <w:szCs w:val="24"/>
        </w:rPr>
      </w:pPr>
    </w:p>
    <w:p w14:paraId="0F2AC9B0">
      <w:pPr>
        <w:spacing w:line="360" w:lineRule="auto"/>
        <w:ind w:firstLine="630" w:firstLineChars="196"/>
        <w:jc w:val="left"/>
        <w:rPr>
          <w:rFonts w:hAnsi="宋体" w:cs="宋体"/>
          <w:b/>
          <w:bCs/>
          <w:sz w:val="32"/>
          <w:szCs w:val="32"/>
        </w:rPr>
      </w:pPr>
    </w:p>
    <w:p w14:paraId="6ED5075E">
      <w:pPr>
        <w:spacing w:line="360" w:lineRule="auto"/>
        <w:ind w:firstLine="630" w:firstLineChars="196"/>
        <w:jc w:val="left"/>
        <w:rPr>
          <w:rFonts w:hAnsi="宋体" w:cs="宋体"/>
          <w:b/>
          <w:bCs/>
          <w:sz w:val="32"/>
          <w:szCs w:val="32"/>
        </w:rPr>
      </w:pPr>
      <w:r>
        <w:rPr>
          <w:rFonts w:hint="eastAsia" w:hAnsi="宋体" w:cs="宋体"/>
          <w:b/>
          <w:bCs/>
          <w:sz w:val="32"/>
          <w:szCs w:val="32"/>
        </w:rPr>
        <w:t>采购项目名称：</w:t>
      </w:r>
      <w:r>
        <w:rPr>
          <w:rFonts w:hint="eastAsia" w:hAnsi="宋体" w:cs="宋体"/>
          <w:b/>
          <w:bCs/>
          <w:sz w:val="32"/>
          <w:szCs w:val="32"/>
          <w:u w:val="single"/>
        </w:rPr>
        <w:t xml:space="preserve">                                   </w:t>
      </w:r>
    </w:p>
    <w:p w14:paraId="325791A2">
      <w:pPr>
        <w:spacing w:line="360" w:lineRule="auto"/>
        <w:ind w:firstLine="630" w:firstLineChars="196"/>
        <w:jc w:val="left"/>
        <w:rPr>
          <w:rFonts w:hAnsi="宋体" w:cs="宋体"/>
          <w:b/>
          <w:sz w:val="32"/>
          <w:szCs w:val="32"/>
          <w:u w:val="single"/>
        </w:rPr>
      </w:pPr>
      <w:r>
        <w:rPr>
          <w:rFonts w:hint="eastAsia" w:hAnsi="宋体" w:cs="宋体"/>
          <w:b/>
          <w:bCs/>
          <w:sz w:val="32"/>
          <w:szCs w:val="32"/>
        </w:rPr>
        <w:t>采购项目编号：</w:t>
      </w:r>
      <w:r>
        <w:rPr>
          <w:rFonts w:hint="eastAsia" w:hAnsi="宋体" w:cs="宋体"/>
          <w:b/>
          <w:sz w:val="32"/>
          <w:szCs w:val="32"/>
          <w:u w:val="single"/>
        </w:rPr>
        <w:t xml:space="preserve">                                   </w:t>
      </w:r>
    </w:p>
    <w:p w14:paraId="7792ED43">
      <w:pPr>
        <w:spacing w:line="360" w:lineRule="auto"/>
        <w:ind w:firstLine="630" w:firstLineChars="196"/>
        <w:jc w:val="left"/>
        <w:rPr>
          <w:b/>
          <w:bCs/>
          <w:sz w:val="32"/>
          <w:szCs w:val="32"/>
          <w:u w:val="single"/>
        </w:rPr>
      </w:pPr>
      <w:bookmarkStart w:id="367" w:name="_Toc217446082"/>
      <w:bookmarkStart w:id="368" w:name="_Toc323892321"/>
      <w:bookmarkStart w:id="369" w:name="_Toc330829048"/>
      <w:bookmarkStart w:id="370" w:name="_Toc7888"/>
      <w:bookmarkStart w:id="371" w:name="_Toc323892285"/>
      <w:bookmarkStart w:id="372" w:name="_Toc28970"/>
      <w:r>
        <w:rPr>
          <w:b/>
          <w:bCs/>
          <w:sz w:val="32"/>
          <w:szCs w:val="32"/>
        </w:rPr>
        <w:t>分包号及名称（若有）：</w:t>
      </w:r>
      <w:r>
        <w:rPr>
          <w:rFonts w:hint="eastAsia"/>
          <w:b/>
          <w:bCs/>
          <w:sz w:val="32"/>
          <w:szCs w:val="32"/>
          <w:u w:val="single"/>
        </w:rPr>
        <w:t xml:space="preserve"> </w:t>
      </w:r>
      <w:r>
        <w:rPr>
          <w:b/>
          <w:bCs/>
          <w:sz w:val="32"/>
          <w:szCs w:val="32"/>
          <w:u w:val="single"/>
        </w:rPr>
        <w:t xml:space="preserve">                          </w:t>
      </w:r>
    </w:p>
    <w:p w14:paraId="0D4F947E">
      <w:pPr>
        <w:spacing w:line="360" w:lineRule="auto"/>
        <w:ind w:firstLine="630" w:firstLineChars="196"/>
        <w:jc w:val="left"/>
        <w:rPr>
          <w:b/>
          <w:bCs/>
          <w:sz w:val="32"/>
          <w:szCs w:val="32"/>
        </w:rPr>
      </w:pPr>
    </w:p>
    <w:p w14:paraId="6BBD42E9">
      <w:pPr>
        <w:spacing w:line="360" w:lineRule="auto"/>
        <w:ind w:firstLine="630" w:firstLineChars="196"/>
        <w:jc w:val="left"/>
        <w:rPr>
          <w:b/>
          <w:bCs/>
          <w:sz w:val="32"/>
          <w:szCs w:val="32"/>
        </w:rPr>
      </w:pPr>
    </w:p>
    <w:p w14:paraId="40F50F3E">
      <w:pPr>
        <w:spacing w:line="360" w:lineRule="auto"/>
        <w:ind w:firstLine="630" w:firstLineChars="196"/>
        <w:jc w:val="left"/>
        <w:rPr>
          <w:b/>
          <w:bCs/>
          <w:sz w:val="32"/>
          <w:szCs w:val="32"/>
        </w:rPr>
      </w:pPr>
    </w:p>
    <w:p w14:paraId="46158EBA">
      <w:pPr>
        <w:spacing w:line="360" w:lineRule="auto"/>
        <w:ind w:firstLine="630" w:firstLineChars="196"/>
        <w:jc w:val="left"/>
        <w:rPr>
          <w:b/>
          <w:bCs/>
          <w:sz w:val="32"/>
          <w:szCs w:val="32"/>
        </w:rPr>
      </w:pPr>
    </w:p>
    <w:p w14:paraId="30EF39B5">
      <w:pPr>
        <w:spacing w:line="360" w:lineRule="auto"/>
        <w:ind w:firstLine="630" w:firstLineChars="196"/>
        <w:jc w:val="left"/>
        <w:rPr>
          <w:b/>
          <w:bCs/>
          <w:sz w:val="32"/>
          <w:szCs w:val="32"/>
        </w:rPr>
      </w:pPr>
    </w:p>
    <w:p w14:paraId="56637803">
      <w:pPr>
        <w:spacing w:line="360" w:lineRule="auto"/>
        <w:ind w:firstLine="630" w:firstLineChars="196"/>
        <w:jc w:val="left"/>
        <w:rPr>
          <w:b/>
          <w:bCs/>
          <w:sz w:val="32"/>
          <w:szCs w:val="32"/>
        </w:rPr>
      </w:pPr>
    </w:p>
    <w:p w14:paraId="09E01DBB">
      <w:pPr>
        <w:spacing w:line="360" w:lineRule="auto"/>
        <w:ind w:firstLine="630" w:firstLineChars="196"/>
        <w:jc w:val="left"/>
        <w:rPr>
          <w:b/>
          <w:bCs/>
          <w:sz w:val="32"/>
          <w:szCs w:val="32"/>
          <w:u w:val="single"/>
        </w:rPr>
      </w:pPr>
      <w:r>
        <w:rPr>
          <w:rFonts w:hint="eastAsia"/>
          <w:b/>
          <w:bCs/>
          <w:sz w:val="32"/>
          <w:szCs w:val="32"/>
        </w:rPr>
        <w:t>供应商名称（盖章）：</w:t>
      </w:r>
      <w:r>
        <w:rPr>
          <w:rFonts w:hint="eastAsia"/>
          <w:b/>
          <w:bCs/>
          <w:sz w:val="32"/>
          <w:szCs w:val="32"/>
          <w:u w:val="single"/>
        </w:rPr>
        <w:t xml:space="preserve">                             </w:t>
      </w:r>
    </w:p>
    <w:p w14:paraId="51C2DC23">
      <w:pPr>
        <w:spacing w:line="360" w:lineRule="auto"/>
        <w:ind w:firstLine="630" w:firstLineChars="196"/>
        <w:rPr>
          <w:b/>
          <w:bCs/>
          <w:sz w:val="32"/>
          <w:szCs w:val="32"/>
          <w:u w:val="single"/>
        </w:rPr>
      </w:pPr>
      <w:r>
        <w:rPr>
          <w:b/>
          <w:bCs/>
          <w:sz w:val="32"/>
          <w:szCs w:val="32"/>
        </w:rPr>
        <w:t>法定代表人或授权代理人（签字或盖章）：</w:t>
      </w:r>
      <w:r>
        <w:rPr>
          <w:rFonts w:hint="eastAsia"/>
          <w:b/>
          <w:bCs/>
          <w:sz w:val="32"/>
          <w:szCs w:val="32"/>
          <w:u w:val="single"/>
        </w:rPr>
        <w:t xml:space="preserve"> </w:t>
      </w:r>
      <w:r>
        <w:rPr>
          <w:b/>
          <w:bCs/>
          <w:sz w:val="32"/>
          <w:szCs w:val="32"/>
          <w:u w:val="single"/>
        </w:rPr>
        <w:t xml:space="preserve">          </w:t>
      </w:r>
    </w:p>
    <w:p w14:paraId="6EADF9F2">
      <w:pPr>
        <w:spacing w:line="360" w:lineRule="auto"/>
        <w:ind w:firstLine="630" w:firstLineChars="196"/>
        <w:jc w:val="center"/>
        <w:rPr>
          <w:sz w:val="36"/>
          <w:szCs w:val="36"/>
        </w:rPr>
      </w:pPr>
      <w:r>
        <w:rPr>
          <w:rFonts w:hint="eastAsia"/>
          <w:b/>
          <w:bCs/>
          <w:sz w:val="32"/>
          <w:szCs w:val="32"/>
        </w:rPr>
        <w:t>日 期：</w:t>
      </w: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14:paraId="2DE3DC7F">
      <w:pPr>
        <w:pStyle w:val="4"/>
        <w:spacing w:before="0" w:after="0" w:line="360" w:lineRule="auto"/>
        <w:jc w:val="center"/>
        <w:rPr>
          <w:rFonts w:hAnsi="宋体"/>
          <w:bCs w:val="0"/>
          <w:szCs w:val="22"/>
        </w:rPr>
      </w:pPr>
      <w:r>
        <w:rPr>
          <w:rFonts w:hint="eastAsia" w:hAnsi="宋体" w:cs="宋体"/>
          <w:b w:val="0"/>
          <w:sz w:val="24"/>
          <w:szCs w:val="24"/>
        </w:rPr>
        <w:br w:type="page"/>
      </w:r>
      <w:bookmarkStart w:id="373" w:name="_Toc138168011"/>
      <w:bookmarkStart w:id="374" w:name="_Toc170477119"/>
      <w:bookmarkStart w:id="375" w:name="_Toc6879"/>
      <w:r>
        <w:rPr>
          <w:rFonts w:hint="eastAsia" w:hAnsi="宋体"/>
          <w:bCs w:val="0"/>
          <w:szCs w:val="22"/>
        </w:rPr>
        <w:t>一、法定代表人身份证明书</w:t>
      </w:r>
      <w:bookmarkEnd w:id="373"/>
      <w:bookmarkEnd w:id="374"/>
      <w:bookmarkEnd w:id="375"/>
    </w:p>
    <w:p w14:paraId="741A2D32">
      <w:pPr>
        <w:pStyle w:val="38"/>
        <w:shd w:val="clear" w:color="auto" w:fill="FFFFFF"/>
        <w:spacing w:beforeAutospacing="0" w:afterAutospacing="0" w:line="360" w:lineRule="auto"/>
        <w:rPr>
          <w:rFonts w:hAnsi="宋体"/>
          <w:b/>
          <w:bCs/>
        </w:rPr>
      </w:pPr>
    </w:p>
    <w:p w14:paraId="461F3C50">
      <w:pPr>
        <w:pStyle w:val="38"/>
        <w:shd w:val="clear" w:color="auto" w:fill="FFFFFF"/>
        <w:spacing w:beforeAutospacing="0" w:afterAutospacing="0" w:line="360" w:lineRule="auto"/>
        <w:rPr>
          <w:rFonts w:hAnsi="宋体"/>
          <w:spacing w:val="6"/>
        </w:rPr>
      </w:pPr>
      <w:r>
        <w:rPr>
          <w:rFonts w:hint="eastAsia" w:hAnsi="宋体"/>
          <w:spacing w:val="6"/>
        </w:rPr>
        <w:t>单位名称：</w:t>
      </w:r>
      <w:r>
        <w:rPr>
          <w:rFonts w:hint="eastAsia" w:hAnsi="宋体"/>
          <w:spacing w:val="2"/>
          <w:u w:val="single"/>
        </w:rPr>
        <w:t>             </w:t>
      </w:r>
      <w:r>
        <w:rPr>
          <w:rFonts w:hint="eastAsia" w:hAnsi="宋体"/>
          <w:spacing w:val="6"/>
          <w:u w:val="single"/>
        </w:rPr>
        <w:t xml:space="preserve">                         </w:t>
      </w:r>
    </w:p>
    <w:p w14:paraId="6034CD55">
      <w:pPr>
        <w:pStyle w:val="38"/>
        <w:shd w:val="clear" w:color="auto" w:fill="FFFFFF"/>
        <w:spacing w:beforeAutospacing="0" w:afterAutospacing="0" w:line="360" w:lineRule="auto"/>
        <w:rPr>
          <w:rFonts w:hAnsi="宋体"/>
          <w:spacing w:val="6"/>
        </w:rPr>
      </w:pPr>
      <w:r>
        <w:rPr>
          <w:rFonts w:hint="eastAsia" w:hAnsi="宋体"/>
          <w:spacing w:val="6"/>
        </w:rPr>
        <w:t>单位性质：</w:t>
      </w:r>
      <w:r>
        <w:rPr>
          <w:rFonts w:hint="eastAsia" w:hAnsi="宋体"/>
          <w:spacing w:val="2"/>
          <w:u w:val="single"/>
        </w:rPr>
        <w:t>             </w:t>
      </w:r>
      <w:r>
        <w:rPr>
          <w:rFonts w:hint="eastAsia" w:hAnsi="宋体"/>
          <w:spacing w:val="6"/>
          <w:u w:val="single"/>
        </w:rPr>
        <w:t xml:space="preserve">                         </w:t>
      </w:r>
    </w:p>
    <w:p w14:paraId="6141DF41">
      <w:pPr>
        <w:pStyle w:val="38"/>
        <w:shd w:val="clear" w:color="auto" w:fill="FFFFFF"/>
        <w:spacing w:beforeAutospacing="0" w:afterAutospacing="0" w:line="360" w:lineRule="auto"/>
        <w:rPr>
          <w:rFonts w:hAnsi="宋体"/>
        </w:rPr>
      </w:pPr>
      <w:r>
        <w:rPr>
          <w:rFonts w:hint="eastAsia" w:hAnsi="宋体"/>
        </w:rPr>
        <w:t xml:space="preserve">地    </w:t>
      </w:r>
      <w:r>
        <w:rPr>
          <w:rFonts w:hint="eastAsia" w:hAnsi="宋体"/>
          <w:spacing w:val="6"/>
        </w:rPr>
        <w:t>址：</w:t>
      </w:r>
      <w:r>
        <w:rPr>
          <w:rFonts w:hint="eastAsia" w:hAnsi="宋体"/>
          <w:spacing w:val="2"/>
          <w:u w:val="single"/>
        </w:rPr>
        <w:t>             </w:t>
      </w:r>
      <w:r>
        <w:rPr>
          <w:rFonts w:hint="eastAsia" w:hAnsi="宋体"/>
          <w:spacing w:val="6"/>
          <w:u w:val="single"/>
        </w:rPr>
        <w:t xml:space="preserve">                         </w:t>
      </w:r>
    </w:p>
    <w:p w14:paraId="3EA78577">
      <w:pPr>
        <w:pStyle w:val="38"/>
        <w:shd w:val="clear" w:color="auto" w:fill="FFFFFF"/>
        <w:spacing w:beforeAutospacing="0" w:afterAutospacing="0" w:line="360" w:lineRule="auto"/>
        <w:rPr>
          <w:rFonts w:hAnsi="宋体"/>
          <w:spacing w:val="6"/>
        </w:rPr>
      </w:pPr>
      <w:r>
        <w:rPr>
          <w:rFonts w:hint="eastAsia" w:hAnsi="宋体"/>
          <w:spacing w:val="6"/>
        </w:rPr>
        <w:t>成立时间：</w:t>
      </w:r>
      <w:r>
        <w:rPr>
          <w:rFonts w:hint="eastAsia" w:hAnsi="宋体"/>
          <w:spacing w:val="6"/>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14:paraId="121878D7">
      <w:pPr>
        <w:pStyle w:val="38"/>
        <w:shd w:val="clear" w:color="auto" w:fill="FFFFFF"/>
        <w:spacing w:beforeAutospacing="0" w:afterAutospacing="0" w:line="360" w:lineRule="auto"/>
        <w:rPr>
          <w:rFonts w:hAnsi="宋体"/>
          <w:spacing w:val="6"/>
          <w:u w:val="single"/>
        </w:rPr>
      </w:pPr>
      <w:r>
        <w:rPr>
          <w:rFonts w:hint="eastAsia" w:hAnsi="宋体"/>
          <w:spacing w:val="6"/>
        </w:rPr>
        <w:t>经营期限：</w:t>
      </w:r>
      <w:r>
        <w:rPr>
          <w:rFonts w:hint="eastAsia" w:hAnsi="宋体"/>
          <w:spacing w:val="2"/>
          <w:u w:val="single"/>
        </w:rPr>
        <w:t>             </w:t>
      </w:r>
      <w:r>
        <w:rPr>
          <w:rFonts w:hint="eastAsia" w:hAnsi="宋体"/>
          <w:spacing w:val="6"/>
          <w:u w:val="single"/>
        </w:rPr>
        <w:t xml:space="preserve">                         </w:t>
      </w:r>
    </w:p>
    <w:p w14:paraId="56620E78">
      <w:pPr>
        <w:pStyle w:val="38"/>
        <w:shd w:val="clear" w:color="auto" w:fill="FFFFFF"/>
        <w:spacing w:beforeAutospacing="0" w:afterAutospacing="0" w:line="360" w:lineRule="auto"/>
        <w:rPr>
          <w:rFonts w:hAnsi="宋体"/>
          <w:spacing w:val="6"/>
          <w:u w:val="single"/>
        </w:rPr>
      </w:pPr>
    </w:p>
    <w:p w14:paraId="3F564FD6">
      <w:pPr>
        <w:pStyle w:val="38"/>
        <w:shd w:val="clear" w:color="auto" w:fill="FFFFFF"/>
        <w:spacing w:beforeAutospacing="0" w:afterAutospacing="0" w:line="360" w:lineRule="auto"/>
        <w:rPr>
          <w:rFonts w:hAnsi="宋体"/>
          <w:spacing w:val="6"/>
        </w:rPr>
      </w:pPr>
      <w:r>
        <w:rPr>
          <w:rFonts w:hint="eastAsia" w:hAnsi="宋体"/>
          <w:spacing w:val="6"/>
        </w:rPr>
        <w:t>姓名：</w:t>
      </w:r>
      <w:r>
        <w:rPr>
          <w:rFonts w:hint="eastAsia" w:hAnsi="宋体"/>
          <w:spacing w:val="6"/>
          <w:u w:val="single"/>
        </w:rPr>
        <w:t xml:space="preserve">         </w:t>
      </w:r>
      <w:r>
        <w:rPr>
          <w:rFonts w:hint="eastAsia" w:hAnsi="宋体"/>
          <w:spacing w:val="6"/>
        </w:rPr>
        <w:t>性别：</w:t>
      </w:r>
      <w:r>
        <w:rPr>
          <w:rFonts w:hint="eastAsia" w:hAnsi="宋体"/>
          <w:spacing w:val="6"/>
          <w:u w:val="single"/>
        </w:rPr>
        <w:t xml:space="preserve">    </w:t>
      </w:r>
      <w:r>
        <w:rPr>
          <w:rFonts w:hint="eastAsia" w:hAnsi="宋体"/>
          <w:spacing w:val="6"/>
        </w:rPr>
        <w:t xml:space="preserve"> 身份证号码：</w:t>
      </w:r>
      <w:r>
        <w:rPr>
          <w:rFonts w:hint="eastAsia" w:hAnsi="宋体"/>
          <w:spacing w:val="6"/>
          <w:u w:val="single"/>
        </w:rPr>
        <w:t xml:space="preserve">                   </w:t>
      </w:r>
      <w:r>
        <w:rPr>
          <w:rFonts w:hint="eastAsia" w:hAnsi="宋体"/>
          <w:spacing w:val="6"/>
        </w:rPr>
        <w:t>年龄：</w:t>
      </w:r>
      <w:r>
        <w:rPr>
          <w:rFonts w:hint="eastAsia" w:hAnsi="宋体"/>
          <w:spacing w:val="6"/>
          <w:u w:val="single"/>
        </w:rPr>
        <w:t xml:space="preserve">        </w:t>
      </w:r>
      <w:r>
        <w:rPr>
          <w:rFonts w:hint="eastAsia" w:hAnsi="宋体"/>
          <w:spacing w:val="6"/>
        </w:rPr>
        <w:t xml:space="preserve"> </w:t>
      </w:r>
    </w:p>
    <w:p w14:paraId="43F82AA5">
      <w:pPr>
        <w:pStyle w:val="38"/>
        <w:shd w:val="clear" w:color="auto" w:fill="FFFFFF"/>
        <w:spacing w:beforeAutospacing="0" w:afterAutospacing="0" w:line="360" w:lineRule="auto"/>
        <w:rPr>
          <w:rFonts w:hAnsi="宋体"/>
          <w:spacing w:val="6"/>
        </w:rPr>
      </w:pPr>
      <w:r>
        <w:rPr>
          <w:rFonts w:hint="eastAsia" w:hAnsi="宋体"/>
          <w:spacing w:val="6"/>
        </w:rPr>
        <w:t>职务：</w:t>
      </w:r>
      <w:r>
        <w:rPr>
          <w:rFonts w:hint="eastAsia" w:hAnsi="宋体"/>
          <w:spacing w:val="6"/>
          <w:u w:val="single"/>
        </w:rPr>
        <w:t xml:space="preserve">          </w:t>
      </w:r>
      <w:r>
        <w:rPr>
          <w:rFonts w:hint="eastAsia" w:hAnsi="宋体"/>
        </w:rPr>
        <w:t>系</w:t>
      </w:r>
      <w:r>
        <w:rPr>
          <w:rFonts w:hint="eastAsia" w:hAnsi="宋体"/>
          <w:spacing w:val="6"/>
          <w:u w:val="single"/>
        </w:rPr>
        <w:t xml:space="preserve">              (单位名称)</w:t>
      </w:r>
      <w:r>
        <w:rPr>
          <w:rFonts w:hint="eastAsia" w:hAnsi="宋体"/>
        </w:rPr>
        <w:t xml:space="preserve"> 的法定代表人。 </w:t>
      </w:r>
    </w:p>
    <w:p w14:paraId="781042FA">
      <w:pPr>
        <w:pStyle w:val="38"/>
        <w:shd w:val="clear" w:color="auto" w:fill="FFFFFF"/>
        <w:spacing w:beforeAutospacing="0" w:afterAutospacing="0" w:line="360" w:lineRule="auto"/>
        <w:rPr>
          <w:rFonts w:hAnsi="宋体"/>
          <w:spacing w:val="6"/>
        </w:rPr>
      </w:pPr>
      <w:r>
        <w:rPr>
          <w:rFonts w:hint="eastAsia" w:hAnsi="宋体"/>
        </w:rPr>
        <w:t xml:space="preserve">            </w:t>
      </w:r>
    </w:p>
    <w:p w14:paraId="25294393">
      <w:pPr>
        <w:pStyle w:val="38"/>
        <w:shd w:val="clear" w:color="auto" w:fill="FFFFFF"/>
        <w:spacing w:beforeAutospacing="0" w:afterAutospacing="0" w:line="360" w:lineRule="auto"/>
        <w:rPr>
          <w:rFonts w:hAnsi="宋体"/>
          <w:spacing w:val="6"/>
        </w:rPr>
      </w:pPr>
      <w:r>
        <w:rPr>
          <w:rFonts w:hint="eastAsia" w:hAnsi="宋体"/>
          <w:spacing w:val="6"/>
        </w:rPr>
        <w:t>特此证明。</w:t>
      </w:r>
    </w:p>
    <w:p w14:paraId="3D09A3F0">
      <w:pPr>
        <w:pStyle w:val="38"/>
        <w:shd w:val="clear" w:color="auto" w:fill="FFFFFF"/>
        <w:spacing w:beforeAutospacing="0" w:afterAutospacing="0" w:line="360" w:lineRule="auto"/>
        <w:rPr>
          <w:rFonts w:hAnsi="宋体"/>
          <w:spacing w:val="6"/>
        </w:rPr>
      </w:pPr>
    </w:p>
    <w:p w14:paraId="47C59EDD">
      <w:pPr>
        <w:spacing w:line="360" w:lineRule="auto"/>
        <w:ind w:firstLine="470" w:firstLineChars="196"/>
        <w:rPr>
          <w:rFonts w:hAnsi="宋体" w:cs="宋体"/>
          <w:szCs w:val="24"/>
        </w:rPr>
      </w:pPr>
      <w:r>
        <w:rPr>
          <w:rFonts w:hint="eastAsia" w:hAnsi="宋体" w:cs="宋体"/>
          <w:szCs w:val="24"/>
        </w:rPr>
        <w:t>供应商名称：</w:t>
      </w:r>
      <w:r>
        <w:rPr>
          <w:rFonts w:hint="eastAsia" w:hAnsi="宋体" w:cs="宋体"/>
          <w:szCs w:val="24"/>
          <w:u w:val="single"/>
        </w:rPr>
        <w:t xml:space="preserve"> </w:t>
      </w:r>
      <w:r>
        <w:rPr>
          <w:rFonts w:hAnsi="宋体" w:cs="宋体"/>
          <w:szCs w:val="24"/>
          <w:u w:val="single"/>
        </w:rPr>
        <w:t xml:space="preserve">              </w:t>
      </w:r>
      <w:r>
        <w:rPr>
          <w:rFonts w:hint="eastAsia" w:hAnsi="宋体" w:cs="宋体"/>
          <w:szCs w:val="24"/>
        </w:rPr>
        <w:t>（单位公章）</w:t>
      </w:r>
    </w:p>
    <w:p w14:paraId="200BB6DE">
      <w:pPr>
        <w:spacing w:line="360" w:lineRule="auto"/>
        <w:ind w:firstLine="470" w:firstLineChars="196"/>
        <w:rPr>
          <w:rFonts w:hAnsi="宋体" w:cs="宋体"/>
          <w:szCs w:val="24"/>
        </w:rPr>
      </w:pPr>
      <w:r>
        <w:rPr>
          <w:rFonts w:hint="eastAsia" w:hAnsi="宋体" w:cs="宋体"/>
          <w:szCs w:val="24"/>
        </w:rPr>
        <w:t>日    期：</w:t>
      </w:r>
    </w:p>
    <w:p w14:paraId="7BFEDF2B">
      <w:pPr>
        <w:pStyle w:val="38"/>
        <w:shd w:val="clear" w:color="auto" w:fill="FFFFFF"/>
        <w:spacing w:beforeAutospacing="0" w:afterAutospacing="0" w:line="360" w:lineRule="auto"/>
        <w:rPr>
          <w:rFonts w:hAnsi="宋体"/>
        </w:rPr>
      </w:pPr>
    </w:p>
    <w:p w14:paraId="6F3DEB4F">
      <w:pPr>
        <w:pStyle w:val="38"/>
        <w:shd w:val="clear" w:color="auto" w:fill="FFFFFF"/>
        <w:spacing w:beforeAutospacing="0" w:afterAutospacing="0" w:line="360" w:lineRule="auto"/>
        <w:rPr>
          <w:rFonts w:hAnsi="宋体"/>
          <w:spacing w:val="6"/>
        </w:rPr>
      </w:pPr>
    </w:p>
    <w:p w14:paraId="3F75116A">
      <w:pPr>
        <w:pStyle w:val="38"/>
        <w:shd w:val="clear" w:color="auto" w:fill="FFFFFF"/>
        <w:spacing w:beforeAutospacing="0" w:afterAutospacing="0" w:line="360" w:lineRule="auto"/>
        <w:rPr>
          <w:rFonts w:hAnsi="宋体"/>
          <w:spacing w:val="6"/>
        </w:rPr>
      </w:pPr>
    </w:p>
    <w:p w14:paraId="1280F217">
      <w:pPr>
        <w:pStyle w:val="38"/>
        <w:shd w:val="clear" w:color="auto" w:fill="FFFFFF"/>
        <w:spacing w:beforeAutospacing="0" w:afterAutospacing="0" w:line="360" w:lineRule="auto"/>
        <w:rPr>
          <w:rFonts w:hAnsi="宋体"/>
          <w:spacing w:val="6"/>
        </w:rPr>
      </w:pPr>
    </w:p>
    <w:p w14:paraId="07805E05">
      <w:pPr>
        <w:pStyle w:val="38"/>
        <w:shd w:val="clear" w:color="auto" w:fill="FFFFFF"/>
        <w:spacing w:beforeAutospacing="0" w:afterAutospacing="0" w:line="360" w:lineRule="auto"/>
        <w:rPr>
          <w:rFonts w:hAnsi="宋体"/>
          <w:spacing w:val="6"/>
          <w:u w:val="single"/>
        </w:rPr>
      </w:pPr>
      <w:r>
        <w:rPr>
          <w:rFonts w:hint="eastAsia" w:hAnsi="宋体"/>
          <w:spacing w:val="6"/>
        </w:rPr>
        <w:t>附：法定代表人联系地址</w:t>
      </w:r>
      <w:r>
        <w:rPr>
          <w:rFonts w:hint="eastAsia" w:hAnsi="宋体"/>
          <w:spacing w:val="2"/>
          <w:u w:val="single"/>
        </w:rPr>
        <w:t>                 </w:t>
      </w:r>
      <w:r>
        <w:rPr>
          <w:rFonts w:hint="eastAsia" w:hAnsi="宋体"/>
          <w:spacing w:val="6"/>
          <w:u w:val="single"/>
        </w:rPr>
        <w:t xml:space="preserve"> </w:t>
      </w:r>
    </w:p>
    <w:p w14:paraId="70CE52A0">
      <w:pPr>
        <w:pStyle w:val="38"/>
        <w:shd w:val="clear" w:color="auto" w:fill="FFFFFF"/>
        <w:spacing w:beforeAutospacing="0" w:afterAutospacing="0" w:line="360" w:lineRule="auto"/>
        <w:rPr>
          <w:rFonts w:hAnsi="宋体"/>
          <w:spacing w:val="6"/>
        </w:rPr>
      </w:pPr>
      <w:r>
        <w:rPr>
          <w:rFonts w:hint="eastAsia" w:hAnsi="宋体"/>
          <w:spacing w:val="6"/>
        </w:rPr>
        <w:t>联系电话：</w:t>
      </w:r>
      <w:r>
        <w:rPr>
          <w:rFonts w:hint="eastAsia" w:hAnsi="宋体"/>
          <w:spacing w:val="6"/>
          <w:u w:val="single"/>
        </w:rPr>
        <w:t xml:space="preserve"> </w:t>
      </w:r>
      <w:r>
        <w:rPr>
          <w:rFonts w:hint="eastAsia" w:hAnsi="宋体"/>
          <w:spacing w:val="2"/>
          <w:u w:val="single"/>
        </w:rPr>
        <w:t>             </w:t>
      </w:r>
      <w:r>
        <w:rPr>
          <w:rFonts w:hint="eastAsia" w:hAnsi="宋体"/>
          <w:spacing w:val="6"/>
          <w:u w:val="single"/>
        </w:rPr>
        <w:t xml:space="preserve">                   </w:t>
      </w:r>
      <w:r>
        <w:rPr>
          <w:rFonts w:hint="eastAsia" w:hAnsi="宋体"/>
          <w:spacing w:val="6"/>
        </w:rPr>
        <w:t>。</w:t>
      </w:r>
    </w:p>
    <w:p w14:paraId="69B7F574">
      <w:pPr>
        <w:pStyle w:val="38"/>
        <w:shd w:val="clear" w:color="auto" w:fill="FFFFFF"/>
        <w:spacing w:beforeAutospacing="0" w:afterAutospacing="0" w:line="360" w:lineRule="auto"/>
        <w:rPr>
          <w:rFonts w:hAnsi="宋体"/>
          <w:spacing w:val="6"/>
        </w:rPr>
      </w:pPr>
    </w:p>
    <w:p w14:paraId="2C2ED0AF">
      <w:pPr>
        <w:pStyle w:val="38"/>
        <w:shd w:val="clear" w:color="auto" w:fill="FFFFFF"/>
        <w:spacing w:beforeAutospacing="0" w:afterAutospacing="0" w:line="360" w:lineRule="auto"/>
        <w:rPr>
          <w:rFonts w:hAnsi="宋体"/>
          <w:spacing w:val="6"/>
        </w:rPr>
      </w:pPr>
      <w:r>
        <w:rPr>
          <w:rFonts w:hint="eastAsia" w:hAnsi="宋体"/>
          <w:spacing w:val="6"/>
        </w:rPr>
        <w:t>法定代表人身份证复印件粘贴或扫描件附后（正面+反面）：</w:t>
      </w:r>
    </w:p>
    <w:p w14:paraId="023B3EEC">
      <w:pPr>
        <w:pStyle w:val="38"/>
        <w:shd w:val="clear" w:color="auto" w:fill="FFFFFF"/>
        <w:spacing w:beforeAutospacing="0" w:afterAutospacing="0" w:line="360" w:lineRule="auto"/>
        <w:rPr>
          <w:rFonts w:hAnsi="宋体"/>
          <w:spacing w:val="6"/>
        </w:rPr>
      </w:pPr>
    </w:p>
    <w:p w14:paraId="31548E2F">
      <w:pPr>
        <w:pStyle w:val="38"/>
        <w:shd w:val="clear" w:color="auto" w:fill="FFFFFF"/>
        <w:spacing w:beforeAutospacing="0" w:afterAutospacing="0" w:line="360" w:lineRule="auto"/>
        <w:rPr>
          <w:rFonts w:hAnsi="宋体"/>
          <w:spacing w:val="6"/>
        </w:rPr>
      </w:pPr>
    </w:p>
    <w:p w14:paraId="34F22230">
      <w:pPr>
        <w:pStyle w:val="38"/>
        <w:shd w:val="clear" w:color="auto" w:fill="FFFFFF"/>
        <w:spacing w:beforeAutospacing="0" w:afterAutospacing="0" w:line="360" w:lineRule="auto"/>
        <w:rPr>
          <w:rFonts w:hAnsi="宋体"/>
          <w:spacing w:val="6"/>
        </w:rPr>
      </w:pPr>
    </w:p>
    <w:p w14:paraId="4AD018EA">
      <w:pPr>
        <w:pStyle w:val="38"/>
        <w:shd w:val="clear" w:color="auto" w:fill="FFFFFF"/>
        <w:spacing w:beforeAutospacing="0" w:afterAutospacing="0" w:line="360" w:lineRule="auto"/>
        <w:rPr>
          <w:rFonts w:hAnsi="宋体"/>
          <w:spacing w:val="6"/>
        </w:rPr>
      </w:pPr>
      <w:r>
        <w:rPr>
          <w:rFonts w:hint="eastAsia" w:hAnsi="宋体"/>
          <w:spacing w:val="6"/>
        </w:rPr>
        <w:t>1.供应商属于银行、保险、石油石化、电力、电信等有行业特殊情况的，提供分支机构负责人身份证明，并附分支机构负责人身份证（复印件）。</w:t>
      </w:r>
    </w:p>
    <w:p w14:paraId="1FE72545">
      <w:pPr>
        <w:widowControl/>
        <w:jc w:val="left"/>
        <w:rPr>
          <w:rFonts w:hAnsi="宋体" w:cs="宋体"/>
          <w:spacing w:val="6"/>
          <w:szCs w:val="24"/>
        </w:rPr>
      </w:pPr>
      <w:r>
        <w:rPr>
          <w:rFonts w:hAnsi="宋体"/>
          <w:spacing w:val="6"/>
        </w:rPr>
        <w:br w:type="page"/>
      </w:r>
    </w:p>
    <w:p w14:paraId="114F5D5B">
      <w:pPr>
        <w:pStyle w:val="4"/>
        <w:spacing w:before="0" w:after="0" w:line="360" w:lineRule="auto"/>
        <w:jc w:val="center"/>
        <w:rPr>
          <w:rFonts w:hAnsi="宋体"/>
          <w:bCs w:val="0"/>
          <w:szCs w:val="22"/>
        </w:rPr>
      </w:pPr>
      <w:bookmarkStart w:id="376" w:name="_Toc138168012"/>
      <w:bookmarkStart w:id="377" w:name="_Toc170477120"/>
      <w:bookmarkStart w:id="378" w:name="_Toc8871"/>
      <w:bookmarkStart w:id="379" w:name="_Toc187"/>
      <w:bookmarkStart w:id="380" w:name="_Toc3347"/>
      <w:r>
        <w:rPr>
          <w:rFonts w:hint="eastAsia" w:hAnsi="宋体"/>
          <w:bCs w:val="0"/>
          <w:szCs w:val="22"/>
        </w:rPr>
        <w:t>二、法定代表人授权委托书</w:t>
      </w:r>
      <w:bookmarkEnd w:id="376"/>
      <w:bookmarkEnd w:id="377"/>
      <w:bookmarkEnd w:id="378"/>
      <w:bookmarkEnd w:id="379"/>
      <w:bookmarkEnd w:id="380"/>
    </w:p>
    <w:p w14:paraId="23F6A6ED">
      <w:pPr>
        <w:pStyle w:val="10"/>
        <w:spacing w:line="360" w:lineRule="auto"/>
        <w:ind w:firstLine="0"/>
        <w:rPr>
          <w:rFonts w:hAnsi="宋体" w:cs="宋体"/>
          <w:b w:val="0"/>
          <w:bCs/>
          <w:sz w:val="24"/>
          <w:szCs w:val="24"/>
        </w:rPr>
      </w:pPr>
      <w:r>
        <w:rPr>
          <w:rFonts w:hint="eastAsia" w:hAnsi="宋体" w:cs="宋体"/>
          <w:b w:val="0"/>
          <w:bCs/>
          <w:sz w:val="24"/>
          <w:szCs w:val="24"/>
        </w:rPr>
        <w:t>__________________（采购人名称、采购代理机构名称）：</w:t>
      </w:r>
    </w:p>
    <w:p w14:paraId="6FD0EE75">
      <w:pPr>
        <w:pStyle w:val="10"/>
        <w:spacing w:line="360" w:lineRule="auto"/>
        <w:ind w:firstLine="480" w:firstLineChars="200"/>
        <w:rPr>
          <w:rFonts w:hAnsi="宋体" w:cs="宋体"/>
          <w:b w:val="0"/>
          <w:bCs/>
          <w:sz w:val="24"/>
          <w:szCs w:val="24"/>
        </w:rPr>
      </w:pPr>
      <w:r>
        <w:rPr>
          <w:rFonts w:hint="eastAsia" w:hAnsi="宋体" w:cs="宋体"/>
          <w:b w:val="0"/>
          <w:bCs/>
          <w:sz w:val="24"/>
          <w:szCs w:val="24"/>
        </w:rPr>
        <w:t>本授权声明：</w:t>
      </w:r>
      <w:r>
        <w:rPr>
          <w:rFonts w:hint="eastAsia" w:hAnsi="宋体" w:cs="宋体"/>
          <w:b w:val="0"/>
          <w:bCs/>
          <w:sz w:val="24"/>
          <w:szCs w:val="24"/>
          <w:u w:val="single"/>
        </w:rPr>
        <w:t xml:space="preserve">                     </w:t>
      </w:r>
      <w:r>
        <w:rPr>
          <w:rFonts w:hint="eastAsia" w:hAnsi="宋体" w:cs="宋体"/>
          <w:b w:val="0"/>
          <w:bCs/>
          <w:sz w:val="24"/>
          <w:szCs w:val="24"/>
        </w:rPr>
        <w:t>（供应商名称）</w:t>
      </w:r>
      <w:r>
        <w:rPr>
          <w:rFonts w:hint="eastAsia" w:hAnsi="宋体" w:cs="宋体"/>
          <w:b w:val="0"/>
          <w:bCs/>
          <w:sz w:val="24"/>
          <w:szCs w:val="24"/>
          <w:u w:val="single"/>
        </w:rPr>
        <w:t xml:space="preserve">          </w:t>
      </w:r>
      <w:r>
        <w:rPr>
          <w:rFonts w:hint="eastAsia" w:hAnsi="宋体" w:cs="宋体"/>
          <w:b w:val="0"/>
          <w:bCs/>
          <w:sz w:val="24"/>
          <w:szCs w:val="24"/>
        </w:rPr>
        <w:t>（法定代表人姓名、职务）授权</w:t>
      </w:r>
      <w:r>
        <w:rPr>
          <w:rFonts w:hint="eastAsia" w:hAnsi="宋体" w:cs="宋体"/>
          <w:b w:val="0"/>
          <w:bCs/>
          <w:sz w:val="24"/>
          <w:szCs w:val="24"/>
          <w:u w:val="single"/>
        </w:rPr>
        <w:t xml:space="preserve">                   </w:t>
      </w:r>
      <w:r>
        <w:rPr>
          <w:rFonts w:hint="eastAsia" w:hAnsi="宋体" w:cs="宋体"/>
          <w:b w:val="0"/>
          <w:bCs/>
          <w:sz w:val="24"/>
          <w:szCs w:val="24"/>
        </w:rPr>
        <w:t>（代理人姓名、职务）为我方“</w:t>
      </w:r>
      <w:r>
        <w:rPr>
          <w:rFonts w:hint="eastAsia" w:hAnsi="宋体" w:cs="宋体"/>
          <w:b w:val="0"/>
          <w:bCs/>
          <w:sz w:val="24"/>
          <w:szCs w:val="24"/>
          <w:u w:val="single"/>
        </w:rPr>
        <w:t xml:space="preserve">                        </w:t>
      </w:r>
      <w:r>
        <w:rPr>
          <w:rFonts w:hint="eastAsia" w:hAnsi="宋体" w:cs="宋体"/>
          <w:b w:val="0"/>
          <w:bCs/>
          <w:sz w:val="24"/>
          <w:szCs w:val="24"/>
        </w:rPr>
        <w:t>”项目</w:t>
      </w:r>
      <w:r>
        <w:rPr>
          <w:rFonts w:hint="eastAsia" w:hAnsi="宋体" w:cs="宋体"/>
          <w:b w:val="0"/>
          <w:bCs/>
          <w:sz w:val="24"/>
          <w:szCs w:val="24"/>
          <w:u w:val="single"/>
        </w:rPr>
        <w:t xml:space="preserve">                 </w:t>
      </w:r>
      <w:r>
        <w:rPr>
          <w:rFonts w:hint="eastAsia" w:hAnsi="宋体" w:cs="宋体"/>
          <w:b w:val="0"/>
          <w:bCs/>
          <w:sz w:val="24"/>
          <w:szCs w:val="24"/>
        </w:rPr>
        <w:t>（采购项目编号）磋商活动的唯一合法代表，以我方名义全权处理该项目有关磋商、询问、质疑、领取成交通知书、签订合同以及执行合同等一切事宜。</w:t>
      </w:r>
    </w:p>
    <w:p w14:paraId="5EA38213">
      <w:pPr>
        <w:pStyle w:val="10"/>
        <w:spacing w:line="360" w:lineRule="auto"/>
        <w:ind w:firstLine="480" w:firstLineChars="200"/>
        <w:rPr>
          <w:rFonts w:hAnsi="宋体" w:cs="宋体"/>
          <w:b w:val="0"/>
          <w:bCs/>
          <w:sz w:val="24"/>
          <w:szCs w:val="24"/>
        </w:rPr>
      </w:pPr>
      <w:r>
        <w:rPr>
          <w:rFonts w:hint="eastAsia" w:hAnsi="宋体" w:cs="宋体"/>
          <w:b w:val="0"/>
          <w:bCs/>
          <w:sz w:val="24"/>
          <w:szCs w:val="24"/>
        </w:rPr>
        <w:t>本授权书自</w:t>
      </w:r>
      <w:r>
        <w:rPr>
          <w:rFonts w:hint="eastAsia" w:hAnsi="宋体" w:cs="宋体"/>
          <w:b w:val="0"/>
          <w:bCs/>
          <w:sz w:val="24"/>
          <w:szCs w:val="24"/>
          <w:u w:val="single"/>
        </w:rPr>
        <w:t xml:space="preserve">      </w:t>
      </w:r>
      <w:r>
        <w:rPr>
          <w:rFonts w:hint="eastAsia" w:hAnsi="宋体" w:cs="宋体"/>
          <w:b w:val="0"/>
          <w:bCs/>
          <w:sz w:val="24"/>
          <w:szCs w:val="24"/>
        </w:rPr>
        <w:t>年</w:t>
      </w:r>
      <w:r>
        <w:rPr>
          <w:rFonts w:hint="eastAsia" w:hAnsi="宋体" w:cs="宋体"/>
          <w:b w:val="0"/>
          <w:bCs/>
          <w:sz w:val="24"/>
          <w:szCs w:val="24"/>
          <w:u w:val="single"/>
        </w:rPr>
        <w:t xml:space="preserve">      </w:t>
      </w:r>
      <w:r>
        <w:rPr>
          <w:rFonts w:hint="eastAsia" w:hAnsi="宋体" w:cs="宋体"/>
          <w:b w:val="0"/>
          <w:bCs/>
          <w:sz w:val="24"/>
          <w:szCs w:val="24"/>
        </w:rPr>
        <w:t>月</w:t>
      </w:r>
      <w:r>
        <w:rPr>
          <w:rFonts w:hint="eastAsia" w:hAnsi="宋体" w:cs="宋体"/>
          <w:b w:val="0"/>
          <w:bCs/>
          <w:sz w:val="24"/>
          <w:szCs w:val="24"/>
          <w:u w:val="single"/>
        </w:rPr>
        <w:t xml:space="preserve">      </w:t>
      </w:r>
      <w:r>
        <w:rPr>
          <w:rFonts w:hint="eastAsia" w:hAnsi="宋体" w:cs="宋体"/>
          <w:b w:val="0"/>
          <w:bCs/>
          <w:sz w:val="24"/>
          <w:szCs w:val="24"/>
        </w:rPr>
        <w:t>日签字生效，有效期至</w:t>
      </w:r>
      <w:r>
        <w:rPr>
          <w:rFonts w:hint="eastAsia" w:hAnsi="宋体" w:cs="宋体"/>
          <w:b w:val="0"/>
          <w:bCs/>
          <w:sz w:val="24"/>
          <w:szCs w:val="24"/>
          <w:u w:val="single"/>
        </w:rPr>
        <w:t xml:space="preserve">        </w:t>
      </w:r>
      <w:r>
        <w:rPr>
          <w:rFonts w:hint="eastAsia" w:hAnsi="宋体" w:cs="宋体"/>
          <w:b w:val="0"/>
          <w:bCs/>
          <w:sz w:val="24"/>
          <w:szCs w:val="24"/>
        </w:rPr>
        <w:t>，特此声明。</w:t>
      </w:r>
    </w:p>
    <w:p w14:paraId="66DED0CD">
      <w:pPr>
        <w:pStyle w:val="10"/>
        <w:spacing w:line="360" w:lineRule="auto"/>
        <w:ind w:firstLine="0"/>
        <w:rPr>
          <w:rFonts w:hAnsi="宋体" w:cs="宋体"/>
          <w:b w:val="0"/>
          <w:bCs/>
          <w:sz w:val="24"/>
          <w:szCs w:val="24"/>
        </w:rPr>
      </w:pPr>
    </w:p>
    <w:p w14:paraId="11AC4958">
      <w:pPr>
        <w:pStyle w:val="10"/>
        <w:spacing w:line="360" w:lineRule="auto"/>
        <w:ind w:firstLine="480" w:firstLineChars="200"/>
        <w:rPr>
          <w:rFonts w:hAnsi="宋体" w:cs="宋体"/>
          <w:b w:val="0"/>
          <w:bCs/>
          <w:sz w:val="24"/>
          <w:szCs w:val="24"/>
        </w:rPr>
      </w:pPr>
      <w:r>
        <w:rPr>
          <w:rFonts w:hint="eastAsia" w:hAnsi="宋体" w:cs="宋体"/>
          <w:b w:val="0"/>
          <w:bCs/>
          <w:sz w:val="24"/>
          <w:szCs w:val="24"/>
        </w:rPr>
        <w:t xml:space="preserve">供应商名称（加盖公章）：                                   </w:t>
      </w:r>
    </w:p>
    <w:p w14:paraId="408E970E">
      <w:pPr>
        <w:spacing w:line="360" w:lineRule="auto"/>
        <w:ind w:firstLine="470" w:firstLineChars="196"/>
        <w:rPr>
          <w:rFonts w:hAnsi="宋体" w:cs="宋体"/>
          <w:bCs/>
          <w:szCs w:val="24"/>
        </w:rPr>
      </w:pPr>
      <w:r>
        <w:rPr>
          <w:rFonts w:hint="eastAsia" w:hAnsi="宋体" w:cs="宋体"/>
          <w:bCs/>
          <w:szCs w:val="24"/>
        </w:rPr>
        <w:t>法定代表人（签字或加盖个人名章）：</w:t>
      </w:r>
    </w:p>
    <w:p w14:paraId="02A1C986">
      <w:pPr>
        <w:spacing w:line="360" w:lineRule="auto"/>
        <w:ind w:firstLine="470" w:firstLineChars="196"/>
        <w:rPr>
          <w:rFonts w:hAnsi="宋体" w:cs="宋体"/>
          <w:bCs/>
          <w:szCs w:val="24"/>
        </w:rPr>
      </w:pPr>
      <w:r>
        <w:rPr>
          <w:rFonts w:hint="eastAsia" w:hAnsi="宋体" w:cs="宋体"/>
          <w:bCs/>
          <w:szCs w:val="24"/>
        </w:rPr>
        <w:t>授权代理人（签字或盖章）：</w:t>
      </w:r>
    </w:p>
    <w:p w14:paraId="55FA685D">
      <w:pPr>
        <w:spacing w:line="360" w:lineRule="auto"/>
        <w:ind w:firstLine="470" w:firstLineChars="196"/>
        <w:rPr>
          <w:rFonts w:hAnsi="宋体" w:cs="宋体"/>
          <w:bCs/>
          <w:szCs w:val="24"/>
        </w:rPr>
      </w:pPr>
      <w:r>
        <w:rPr>
          <w:rFonts w:hint="eastAsia" w:hAnsi="宋体" w:cs="宋体"/>
          <w:bCs/>
          <w:szCs w:val="24"/>
        </w:rPr>
        <w:t>日    期：</w:t>
      </w:r>
    </w:p>
    <w:p w14:paraId="4D62A277">
      <w:pPr>
        <w:pStyle w:val="10"/>
        <w:spacing w:line="360" w:lineRule="auto"/>
        <w:ind w:firstLine="0"/>
        <w:rPr>
          <w:rFonts w:hAnsi="宋体" w:cs="宋体"/>
          <w:b w:val="0"/>
          <w:bCs/>
          <w:sz w:val="24"/>
          <w:szCs w:val="24"/>
        </w:rPr>
      </w:pPr>
    </w:p>
    <w:p w14:paraId="6202EF54">
      <w:pPr>
        <w:pStyle w:val="10"/>
        <w:spacing w:line="360" w:lineRule="auto"/>
        <w:ind w:firstLine="480" w:firstLineChars="200"/>
        <w:rPr>
          <w:rFonts w:hAnsi="宋体" w:cs="宋体"/>
          <w:b w:val="0"/>
          <w:bCs/>
          <w:sz w:val="24"/>
          <w:szCs w:val="24"/>
        </w:rPr>
      </w:pPr>
    </w:p>
    <w:p w14:paraId="4D1C9DFC">
      <w:pPr>
        <w:pStyle w:val="10"/>
        <w:spacing w:line="360" w:lineRule="auto"/>
        <w:ind w:firstLine="480" w:firstLineChars="200"/>
        <w:rPr>
          <w:rFonts w:hAnsi="宋体" w:cs="宋体"/>
          <w:b w:val="0"/>
          <w:bCs/>
          <w:sz w:val="24"/>
          <w:szCs w:val="24"/>
        </w:rPr>
      </w:pPr>
    </w:p>
    <w:p w14:paraId="0DC2F951">
      <w:pPr>
        <w:pStyle w:val="10"/>
        <w:spacing w:line="360" w:lineRule="auto"/>
        <w:ind w:firstLine="480" w:firstLineChars="200"/>
        <w:rPr>
          <w:rFonts w:hAnsi="宋体" w:cs="宋体"/>
          <w:b w:val="0"/>
          <w:bCs/>
          <w:sz w:val="24"/>
          <w:szCs w:val="24"/>
        </w:rPr>
      </w:pPr>
    </w:p>
    <w:p w14:paraId="4769AB9A">
      <w:pPr>
        <w:pStyle w:val="10"/>
        <w:spacing w:line="360" w:lineRule="auto"/>
        <w:ind w:firstLine="480" w:firstLineChars="200"/>
        <w:rPr>
          <w:rFonts w:hAnsi="宋体" w:cs="宋体"/>
          <w:b w:val="0"/>
          <w:bCs/>
          <w:sz w:val="24"/>
          <w:szCs w:val="24"/>
        </w:rPr>
      </w:pPr>
      <w:r>
        <w:rPr>
          <w:rFonts w:hint="eastAsia" w:hAnsi="宋体" w:cs="宋体"/>
          <w:b w:val="0"/>
          <w:bCs/>
          <w:sz w:val="24"/>
          <w:szCs w:val="24"/>
        </w:rPr>
        <w:t>说明：如法定代表人参加磋商的，响应文件中不需提供本授权委托书；如委托代理人参加磋商的，响应文件中必须提供法定代表人身份证明书、授权委托书、法定代表人和委托代理人的身份证复印件。</w:t>
      </w:r>
    </w:p>
    <w:p w14:paraId="5EA7C6E5">
      <w:pPr>
        <w:pStyle w:val="10"/>
        <w:spacing w:line="360" w:lineRule="auto"/>
        <w:ind w:firstLine="480" w:firstLineChars="200"/>
        <w:rPr>
          <w:rFonts w:hAnsi="宋体" w:cs="宋体"/>
          <w:b w:val="0"/>
          <w:bCs/>
          <w:sz w:val="24"/>
          <w:szCs w:val="24"/>
        </w:rPr>
      </w:pPr>
    </w:p>
    <w:p w14:paraId="63998569">
      <w:pPr>
        <w:widowControl/>
        <w:jc w:val="left"/>
        <w:rPr>
          <w:rFonts w:hAnsi="宋体" w:cs="宋体"/>
          <w:bCs/>
          <w:szCs w:val="24"/>
        </w:rPr>
      </w:pPr>
      <w:bookmarkStart w:id="381" w:name="_Toc5027"/>
      <w:bookmarkStart w:id="382" w:name="_Toc24210"/>
      <w:r>
        <w:rPr>
          <w:rFonts w:hAnsi="宋体" w:cs="宋体"/>
          <w:b/>
          <w:szCs w:val="24"/>
        </w:rPr>
        <w:br w:type="page"/>
      </w:r>
    </w:p>
    <w:p w14:paraId="6D40D300">
      <w:pPr>
        <w:pStyle w:val="4"/>
        <w:spacing w:before="0" w:after="0" w:line="360" w:lineRule="auto"/>
        <w:jc w:val="center"/>
        <w:rPr>
          <w:rFonts w:hAnsi="宋体"/>
          <w:bCs w:val="0"/>
          <w:szCs w:val="22"/>
        </w:rPr>
      </w:pPr>
      <w:bookmarkStart w:id="383" w:name="_Toc170477121"/>
      <w:bookmarkStart w:id="384" w:name="_Toc31868"/>
      <w:bookmarkStart w:id="385" w:name="_Toc138168013"/>
      <w:r>
        <w:rPr>
          <w:rFonts w:hint="eastAsia" w:hAnsi="宋体"/>
          <w:bCs w:val="0"/>
          <w:szCs w:val="22"/>
        </w:rPr>
        <w:t>三、承诺函</w:t>
      </w:r>
      <w:bookmarkEnd w:id="381"/>
      <w:bookmarkEnd w:id="382"/>
      <w:bookmarkEnd w:id="383"/>
      <w:bookmarkEnd w:id="384"/>
      <w:bookmarkEnd w:id="385"/>
    </w:p>
    <w:p w14:paraId="5E33F035">
      <w:pPr>
        <w:adjustRightInd w:val="0"/>
        <w:spacing w:line="360" w:lineRule="auto"/>
        <w:ind w:right="480" w:rightChars="200"/>
        <w:jc w:val="left"/>
        <w:rPr>
          <w:rFonts w:hAnsi="宋体" w:cs="宋体"/>
          <w:spacing w:val="8"/>
        </w:rPr>
      </w:pPr>
      <w:r>
        <w:rPr>
          <w:rFonts w:hint="eastAsia" w:hAnsi="宋体" w:cs="宋体"/>
          <w:spacing w:val="8"/>
          <w:u w:val="single"/>
        </w:rPr>
        <w:t xml:space="preserve">             （采购人名称、采购代理机构名称） </w:t>
      </w:r>
      <w:r>
        <w:rPr>
          <w:rFonts w:hint="eastAsia" w:hAnsi="宋体" w:cs="宋体"/>
          <w:spacing w:val="8"/>
        </w:rPr>
        <w:t>：</w:t>
      </w:r>
    </w:p>
    <w:p w14:paraId="728EC694">
      <w:pPr>
        <w:spacing w:line="360" w:lineRule="auto"/>
        <w:ind w:firstLine="480" w:firstLineChars="200"/>
        <w:rPr>
          <w:rFonts w:hAnsi="宋体" w:cs="宋体"/>
        </w:rPr>
      </w:pPr>
      <w:r>
        <w:rPr>
          <w:rFonts w:hint="eastAsia" w:hAnsi="宋体" w:cs="宋体"/>
        </w:rPr>
        <w:t>我公司作为本次采购项目的供应商，根据竞争性磋商文件要求，现郑重承诺如下：</w:t>
      </w:r>
    </w:p>
    <w:p w14:paraId="3C53D8A7">
      <w:pPr>
        <w:spacing w:line="360" w:lineRule="auto"/>
        <w:ind w:firstLine="480" w:firstLineChars="200"/>
        <w:rPr>
          <w:rFonts w:hAnsi="宋体" w:cs="宋体"/>
        </w:rPr>
      </w:pPr>
      <w:r>
        <w:rPr>
          <w:rFonts w:hint="eastAsia" w:hAnsi="宋体" w:cs="宋体"/>
        </w:rPr>
        <w:t>一、具备本项目规定的条件：</w:t>
      </w:r>
    </w:p>
    <w:p w14:paraId="7F8F0FFD">
      <w:pPr>
        <w:spacing w:line="360" w:lineRule="auto"/>
        <w:ind w:left="420"/>
        <w:jc w:val="left"/>
        <w:rPr>
          <w:rFonts w:hAnsi="宋体" w:cs="宋体"/>
        </w:rPr>
      </w:pPr>
      <w:r>
        <w:rPr>
          <w:rFonts w:hint="eastAsia" w:hAnsi="宋体" w:cs="宋体"/>
        </w:rPr>
        <w:t xml:space="preserve">（一）具有独立承担民事责任的能力； </w:t>
      </w:r>
    </w:p>
    <w:p w14:paraId="2F355201">
      <w:pPr>
        <w:spacing w:line="360" w:lineRule="auto"/>
        <w:ind w:left="420"/>
        <w:jc w:val="left"/>
        <w:rPr>
          <w:rFonts w:hAnsi="宋体" w:cs="宋体"/>
        </w:rPr>
      </w:pPr>
      <w:r>
        <w:rPr>
          <w:rFonts w:hint="eastAsia" w:hAnsi="宋体" w:cs="宋体"/>
        </w:rPr>
        <w:t xml:space="preserve">（二）具有良好的商业信誉和健全的财务会计制度； </w:t>
      </w:r>
    </w:p>
    <w:p w14:paraId="1C3A38F3">
      <w:pPr>
        <w:spacing w:line="360" w:lineRule="auto"/>
        <w:ind w:left="420"/>
        <w:jc w:val="left"/>
        <w:rPr>
          <w:rFonts w:hAnsi="宋体" w:cs="宋体"/>
        </w:rPr>
      </w:pPr>
      <w:r>
        <w:rPr>
          <w:rFonts w:hint="eastAsia" w:hAnsi="宋体" w:cs="宋体"/>
        </w:rPr>
        <w:t xml:space="preserve">（三）具有履行合同所必需的设备和专业技术能力； </w:t>
      </w:r>
    </w:p>
    <w:p w14:paraId="03A0B55A">
      <w:pPr>
        <w:spacing w:line="360" w:lineRule="auto"/>
        <w:ind w:left="420"/>
        <w:jc w:val="left"/>
        <w:rPr>
          <w:rFonts w:hAnsi="宋体" w:cs="宋体"/>
        </w:rPr>
      </w:pPr>
      <w:r>
        <w:rPr>
          <w:rFonts w:hint="eastAsia" w:hAnsi="宋体" w:cs="宋体"/>
        </w:rPr>
        <w:t xml:space="preserve">（四）有依法缴纳税收和社会保障资金的良好记录； </w:t>
      </w:r>
    </w:p>
    <w:p w14:paraId="09BF08A5">
      <w:pPr>
        <w:spacing w:line="360" w:lineRule="auto"/>
        <w:ind w:left="420"/>
        <w:jc w:val="left"/>
        <w:rPr>
          <w:rFonts w:hAnsi="宋体" w:cs="宋体"/>
        </w:rPr>
      </w:pPr>
      <w:r>
        <w:rPr>
          <w:rFonts w:hint="eastAsia" w:hAnsi="宋体" w:cs="宋体"/>
        </w:rPr>
        <w:t>（五）参加采购活动前三年内，在经营活动中没有重大违法记录；</w:t>
      </w:r>
    </w:p>
    <w:p w14:paraId="7A3EDBDA">
      <w:pPr>
        <w:spacing w:line="360" w:lineRule="auto"/>
        <w:ind w:left="420"/>
        <w:jc w:val="left"/>
        <w:rPr>
          <w:rFonts w:hAnsi="宋体" w:cs="宋体"/>
        </w:rPr>
      </w:pPr>
      <w:r>
        <w:rPr>
          <w:rFonts w:hint="eastAsia" w:hAnsi="宋体" w:cs="宋体"/>
        </w:rPr>
        <w:t>（六）法律、行政法规规定的其他条件；</w:t>
      </w:r>
    </w:p>
    <w:p w14:paraId="5E6D840B">
      <w:pPr>
        <w:spacing w:line="360" w:lineRule="auto"/>
        <w:ind w:left="420"/>
        <w:jc w:val="left"/>
        <w:rPr>
          <w:rFonts w:hAnsi="宋体" w:cs="宋体"/>
        </w:rPr>
      </w:pPr>
      <w:r>
        <w:rPr>
          <w:rFonts w:hint="eastAsia" w:hAnsi="宋体" w:cs="宋体"/>
        </w:rPr>
        <w:t>（七）我单位及其现任法定代表人/主要负责人无行贿行为记录；</w:t>
      </w:r>
    </w:p>
    <w:p w14:paraId="0D629264">
      <w:pPr>
        <w:spacing w:line="360" w:lineRule="auto"/>
        <w:ind w:firstLine="480" w:firstLineChars="200"/>
        <w:jc w:val="left"/>
        <w:rPr>
          <w:rFonts w:hAnsi="宋体" w:cs="宋体"/>
          <w:szCs w:val="24"/>
        </w:rPr>
      </w:pPr>
      <w:r>
        <w:rPr>
          <w:rFonts w:hint="eastAsia" w:hAnsi="宋体" w:cs="宋体"/>
          <w:szCs w:val="24"/>
        </w:rPr>
        <w:t>（八）我单位截至本项目磋商截止日未被列入失信被执行人、重大税收违法案件当事人名单、政府采购严重违法失信行为记录名单；</w:t>
      </w:r>
    </w:p>
    <w:p w14:paraId="3B088254">
      <w:pPr>
        <w:spacing w:line="360" w:lineRule="auto"/>
        <w:ind w:left="420"/>
        <w:jc w:val="left"/>
        <w:rPr>
          <w:rFonts w:hAnsi="宋体" w:cs="宋体"/>
        </w:rPr>
      </w:pPr>
      <w:r>
        <w:rPr>
          <w:rFonts w:hint="eastAsia" w:hAnsi="宋体" w:cs="宋体"/>
        </w:rPr>
        <w:t>（九）我公司承诺，参与此项目采购活动采取非联合体磋商方式。</w:t>
      </w:r>
    </w:p>
    <w:p w14:paraId="2C045BE0">
      <w:pPr>
        <w:spacing w:line="360" w:lineRule="auto"/>
        <w:ind w:firstLine="480" w:firstLineChars="200"/>
        <w:rPr>
          <w:rFonts w:hAnsi="宋体" w:cs="宋体"/>
        </w:rPr>
      </w:pPr>
      <w:bookmarkStart w:id="386" w:name="_Toc488150362"/>
      <w:r>
        <w:rPr>
          <w:rFonts w:hint="eastAsia" w:hAnsi="宋体" w:cs="宋体"/>
        </w:rPr>
        <w:t>二、对本项目采取不转包、不分包形式履行合同。</w:t>
      </w:r>
      <w:bookmarkEnd w:id="386"/>
    </w:p>
    <w:p w14:paraId="098CC092">
      <w:pPr>
        <w:spacing w:line="360" w:lineRule="auto"/>
        <w:ind w:firstLine="480" w:firstLineChars="200"/>
        <w:rPr>
          <w:rFonts w:hAnsi="宋体" w:cs="宋体"/>
        </w:rPr>
      </w:pPr>
      <w:bookmarkStart w:id="387" w:name="_Toc488150363"/>
      <w:r>
        <w:rPr>
          <w:rFonts w:hint="eastAsia" w:hAnsi="宋体" w:cs="宋体"/>
        </w:rPr>
        <w:t>三、满足采购人对法律、行政法规规定的其他条件。</w:t>
      </w:r>
      <w:bookmarkEnd w:id="387"/>
    </w:p>
    <w:p w14:paraId="47E9BCC4">
      <w:pPr>
        <w:spacing w:line="360" w:lineRule="auto"/>
        <w:ind w:firstLine="480" w:firstLineChars="200"/>
        <w:rPr>
          <w:rFonts w:hAnsi="宋体" w:cs="宋体"/>
        </w:rPr>
      </w:pPr>
      <w:bookmarkStart w:id="388" w:name="_Toc488150364"/>
      <w:r>
        <w:rPr>
          <w:rFonts w:hint="eastAsia" w:hAnsi="宋体" w:cs="宋体"/>
        </w:rPr>
        <w:t>四、我公司承诺，参与此项目活动采取非联合体磋商方式。</w:t>
      </w:r>
      <w:bookmarkEnd w:id="388"/>
    </w:p>
    <w:p w14:paraId="61F0DD79">
      <w:pPr>
        <w:spacing w:line="360" w:lineRule="auto"/>
        <w:ind w:firstLine="480" w:firstLineChars="200"/>
        <w:rPr>
          <w:rFonts w:hAnsi="宋体" w:cs="宋体"/>
        </w:rPr>
      </w:pPr>
      <w:bookmarkStart w:id="389" w:name="_Toc487472938"/>
      <w:bookmarkStart w:id="390" w:name="_Toc477959806"/>
      <w:bookmarkStart w:id="391" w:name="_Toc19908"/>
      <w:bookmarkStart w:id="392" w:name="_Toc487473029"/>
      <w:bookmarkStart w:id="393" w:name="_Toc16165"/>
      <w:bookmarkStart w:id="394" w:name="_Toc2809"/>
      <w:bookmarkStart w:id="395" w:name="_Toc477960577"/>
      <w:bookmarkStart w:id="396" w:name="_Toc488150365"/>
      <w:r>
        <w:rPr>
          <w:rFonts w:hint="eastAsia" w:hAnsi="宋体" w:cs="宋体"/>
        </w:rPr>
        <w:t>五、完全接受和满足本项目竞争性磋商文件中规定的实质性要求，如对竞争性磋商文件有异议，已经在磋商截止时间届满前依法进行维权救济，不存在对竞争性磋商文件有异议的同时又参加磋商以求侥幸成交或者为实现其他非法目的的行为。</w:t>
      </w:r>
      <w:bookmarkEnd w:id="389"/>
      <w:bookmarkEnd w:id="390"/>
      <w:bookmarkEnd w:id="391"/>
      <w:bookmarkEnd w:id="392"/>
      <w:bookmarkEnd w:id="393"/>
      <w:bookmarkEnd w:id="394"/>
      <w:bookmarkEnd w:id="395"/>
      <w:bookmarkEnd w:id="396"/>
    </w:p>
    <w:p w14:paraId="6F7F2DB8">
      <w:pPr>
        <w:spacing w:line="360" w:lineRule="auto"/>
        <w:ind w:firstLine="480" w:firstLineChars="200"/>
        <w:rPr>
          <w:rFonts w:hAnsi="宋体" w:cs="宋体"/>
        </w:rPr>
      </w:pPr>
      <w:bookmarkStart w:id="397" w:name="_Toc487473030"/>
      <w:bookmarkStart w:id="398" w:name="_Toc8186"/>
      <w:bookmarkStart w:id="399" w:name="_Toc24688"/>
      <w:bookmarkStart w:id="400" w:name="_Toc30552"/>
      <w:bookmarkStart w:id="401" w:name="_Toc487472939"/>
      <w:bookmarkStart w:id="402" w:name="_Toc477960578"/>
      <w:bookmarkStart w:id="403" w:name="_Toc477959807"/>
      <w:bookmarkStart w:id="404" w:name="_Toc488150366"/>
      <w:r>
        <w:rPr>
          <w:rFonts w:hint="eastAsia" w:hAnsi="宋体" w:cs="宋体"/>
        </w:rPr>
        <w:t>六、参加本次采购活动，不存在与单位负责人为同一人或者存在直接控股、管理关系的其他供应商参与同一合同项下的采购活动的行为。</w:t>
      </w:r>
      <w:bookmarkEnd w:id="397"/>
      <w:bookmarkEnd w:id="398"/>
      <w:bookmarkEnd w:id="399"/>
      <w:bookmarkEnd w:id="400"/>
      <w:bookmarkEnd w:id="401"/>
      <w:bookmarkEnd w:id="402"/>
      <w:bookmarkEnd w:id="403"/>
      <w:bookmarkEnd w:id="404"/>
    </w:p>
    <w:p w14:paraId="491AD613">
      <w:pPr>
        <w:spacing w:line="360" w:lineRule="auto"/>
        <w:ind w:firstLine="480" w:firstLineChars="200"/>
        <w:rPr>
          <w:rFonts w:hAnsi="宋体" w:cs="宋体"/>
        </w:rPr>
      </w:pPr>
      <w:bookmarkStart w:id="405" w:name="_Toc7127"/>
      <w:bookmarkStart w:id="406" w:name="_Toc26211"/>
      <w:bookmarkStart w:id="407" w:name="_Toc477959808"/>
      <w:bookmarkStart w:id="408" w:name="_Toc14878"/>
      <w:bookmarkStart w:id="409" w:name="_Toc487472940"/>
      <w:bookmarkStart w:id="410" w:name="_Toc487473031"/>
      <w:bookmarkStart w:id="411" w:name="_Toc477960579"/>
      <w:bookmarkStart w:id="412" w:name="_Toc488150367"/>
      <w:r>
        <w:rPr>
          <w:rFonts w:hint="eastAsia" w:hAnsi="宋体" w:cs="宋体"/>
        </w:rPr>
        <w:t>七、参加本次采购活动，不存在和其他供应商在同一合同项下的采购项目中，同时委托同一个自然人、同一家庭的人员、同一单位的人员作为代理人的行为。</w:t>
      </w:r>
      <w:bookmarkEnd w:id="405"/>
      <w:bookmarkEnd w:id="406"/>
      <w:bookmarkEnd w:id="407"/>
      <w:bookmarkEnd w:id="408"/>
      <w:bookmarkEnd w:id="409"/>
      <w:bookmarkEnd w:id="410"/>
      <w:bookmarkEnd w:id="411"/>
      <w:bookmarkEnd w:id="412"/>
    </w:p>
    <w:p w14:paraId="242B22B7">
      <w:pPr>
        <w:spacing w:line="360" w:lineRule="auto"/>
        <w:ind w:firstLine="480" w:firstLineChars="200"/>
        <w:rPr>
          <w:rFonts w:hAnsi="宋体" w:cs="宋体"/>
        </w:rPr>
      </w:pPr>
      <w:r>
        <w:rPr>
          <w:rFonts w:hint="eastAsia" w:hAnsi="宋体" w:cs="宋体"/>
        </w:rPr>
        <w:t>八、参加本次采购活动，不存在为采购项目提供整体设计、规范编制或者项目管理、监理、检测等服务的供应商。</w:t>
      </w:r>
    </w:p>
    <w:p w14:paraId="586D2B39">
      <w:pPr>
        <w:spacing w:line="360" w:lineRule="auto"/>
        <w:ind w:firstLine="480" w:firstLineChars="200"/>
        <w:rPr>
          <w:rFonts w:hAnsi="宋体" w:cs="宋体"/>
        </w:rPr>
      </w:pPr>
      <w:bookmarkStart w:id="413" w:name="_Toc477960580"/>
      <w:bookmarkStart w:id="414" w:name="_Toc477959809"/>
      <w:bookmarkStart w:id="415" w:name="_Toc27994"/>
      <w:bookmarkStart w:id="416" w:name="_Toc487472941"/>
      <w:bookmarkStart w:id="417" w:name="_Toc9231"/>
      <w:bookmarkStart w:id="418" w:name="_Toc487473032"/>
      <w:bookmarkStart w:id="419" w:name="_Toc23578"/>
      <w:bookmarkStart w:id="420" w:name="_Toc488150368"/>
      <w:r>
        <w:rPr>
          <w:rFonts w:hint="eastAsia" w:hAnsi="宋体" w:cs="宋体"/>
        </w:rPr>
        <w:t>九、</w:t>
      </w:r>
      <w:bookmarkEnd w:id="413"/>
      <w:bookmarkEnd w:id="414"/>
      <w:bookmarkEnd w:id="415"/>
      <w:bookmarkEnd w:id="416"/>
      <w:bookmarkEnd w:id="417"/>
      <w:bookmarkEnd w:id="418"/>
      <w:bookmarkEnd w:id="419"/>
      <w:bookmarkEnd w:id="420"/>
      <w:bookmarkStart w:id="421" w:name="_Toc21162"/>
      <w:bookmarkStart w:id="422" w:name="_Toc22000"/>
      <w:bookmarkStart w:id="423" w:name="_Toc488150369"/>
      <w:bookmarkStart w:id="424" w:name="_Toc487473033"/>
      <w:bookmarkStart w:id="425" w:name="_Toc487472942"/>
      <w:bookmarkStart w:id="426" w:name="_Toc477960581"/>
      <w:bookmarkStart w:id="427" w:name="_Toc477959810"/>
      <w:bookmarkStart w:id="428" w:name="_Toc29163"/>
      <w:r>
        <w:rPr>
          <w:rFonts w:hint="eastAsia" w:hAnsi="宋体" w:cs="宋体"/>
        </w:rPr>
        <w:t>响应文件中提供的能够给予我公司带来优惠、好处的任何材料资料和技术、服务、商务等响应承诺情况都是真实的、有效的、合法的</w:t>
      </w:r>
      <w:bookmarkEnd w:id="421"/>
      <w:bookmarkEnd w:id="422"/>
      <w:bookmarkEnd w:id="423"/>
      <w:bookmarkEnd w:id="424"/>
      <w:bookmarkEnd w:id="425"/>
      <w:bookmarkEnd w:id="426"/>
      <w:bookmarkEnd w:id="427"/>
      <w:bookmarkEnd w:id="428"/>
      <w:r>
        <w:rPr>
          <w:rFonts w:hint="eastAsia" w:hAnsi="宋体" w:cs="宋体"/>
        </w:rPr>
        <w:t>。</w:t>
      </w:r>
    </w:p>
    <w:p w14:paraId="4E6302DF">
      <w:pPr>
        <w:spacing w:line="360" w:lineRule="auto"/>
        <w:ind w:firstLine="480" w:firstLineChars="200"/>
        <w:rPr>
          <w:rFonts w:hAnsi="宋体" w:cs="宋体"/>
        </w:rPr>
      </w:pPr>
      <w:r>
        <w:rPr>
          <w:rFonts w:hint="eastAsia" w:hAnsi="宋体" w:cs="宋体"/>
        </w:rPr>
        <w:t>十、我单位保证在本项目使用的任何产品和服务（包括部分使用）时，不会产生因第三方提出侵犯其专利权、商标权或者其他知识产权而引起的法律和经济纠纷，如因知识产权而引起法律和经济纠纷，由我公司自行承担所有相关责任。</w:t>
      </w:r>
    </w:p>
    <w:p w14:paraId="1ED474DE">
      <w:pPr>
        <w:spacing w:line="360" w:lineRule="auto"/>
        <w:ind w:firstLine="480" w:firstLineChars="200"/>
        <w:rPr>
          <w:rFonts w:hAnsi="宋体" w:cs="宋体"/>
        </w:rPr>
      </w:pPr>
      <w:r>
        <w:rPr>
          <w:rFonts w:hint="eastAsia" w:hAnsi="宋体" w:cs="宋体"/>
        </w:rPr>
        <w:t>十一、采购人享有本项目实施过程中产生的知识成果及知识产权。</w:t>
      </w:r>
    </w:p>
    <w:p w14:paraId="2DC0A868">
      <w:pPr>
        <w:spacing w:line="360" w:lineRule="auto"/>
        <w:ind w:firstLine="480" w:firstLineChars="200"/>
        <w:rPr>
          <w:rFonts w:hAnsi="宋体" w:cs="宋体"/>
        </w:rPr>
      </w:pPr>
      <w:r>
        <w:rPr>
          <w:rFonts w:hint="eastAsia" w:hAnsi="宋体" w:cs="宋体"/>
        </w:rPr>
        <w:t>十二、在磋商报价中包含合法获取该知识产权的相关费用。</w:t>
      </w:r>
    </w:p>
    <w:p w14:paraId="19D5DBB1">
      <w:pPr>
        <w:spacing w:line="360" w:lineRule="auto"/>
        <w:ind w:firstLine="480" w:firstLineChars="200"/>
        <w:rPr>
          <w:rFonts w:hAnsi="宋体" w:cs="宋体"/>
        </w:rPr>
      </w:pPr>
      <w:r>
        <w:rPr>
          <w:rFonts w:hint="eastAsia" w:hAnsi="宋体" w:cs="宋体"/>
        </w:rPr>
        <w:t>十三、我公司在履行合同过程中发生的一切安全责任由我公司自行承担。</w:t>
      </w:r>
    </w:p>
    <w:p w14:paraId="5A765CD1">
      <w:pPr>
        <w:spacing w:line="360" w:lineRule="auto"/>
        <w:ind w:firstLine="480" w:firstLineChars="200"/>
        <w:rPr>
          <w:rFonts w:hAnsi="宋体" w:cs="宋体"/>
          <w:bCs/>
        </w:rPr>
      </w:pPr>
      <w:r>
        <w:rPr>
          <w:rFonts w:hint="eastAsia" w:hAnsi="宋体" w:cs="宋体"/>
          <w:bCs/>
        </w:rPr>
        <w:t xml:space="preserve">本公司对上述承诺的内容事项真实性负责。如经查实上述承诺的内容事项存在虚假，我公司愿意接受以提供虚假材料谋取成交追究法律责任。 </w:t>
      </w:r>
    </w:p>
    <w:p w14:paraId="30C13AAA">
      <w:pPr>
        <w:pStyle w:val="8"/>
        <w:spacing w:line="360" w:lineRule="auto"/>
        <w:rPr>
          <w:rFonts w:ascii="宋体" w:hAnsi="宋体" w:eastAsia="宋体"/>
          <w:sz w:val="24"/>
        </w:rPr>
      </w:pPr>
    </w:p>
    <w:p w14:paraId="7481851D">
      <w:pPr>
        <w:pStyle w:val="8"/>
        <w:spacing w:line="360" w:lineRule="auto"/>
        <w:rPr>
          <w:rFonts w:ascii="宋体" w:hAnsi="宋体" w:eastAsia="宋体"/>
          <w:sz w:val="24"/>
        </w:rPr>
      </w:pPr>
    </w:p>
    <w:p w14:paraId="141C90E2">
      <w:pPr>
        <w:spacing w:line="360" w:lineRule="auto"/>
        <w:ind w:firstLine="480" w:firstLineChars="200"/>
        <w:rPr>
          <w:rFonts w:hAnsi="宋体"/>
        </w:rPr>
      </w:pPr>
      <w:r>
        <w:rPr>
          <w:rFonts w:hint="eastAsia" w:hAnsi="宋体"/>
        </w:rPr>
        <w:t>供应商名称：                   （单位公章）</w:t>
      </w:r>
    </w:p>
    <w:p w14:paraId="3BD873D8">
      <w:pPr>
        <w:spacing w:line="360" w:lineRule="auto"/>
        <w:ind w:firstLine="480" w:firstLineChars="200"/>
        <w:rPr>
          <w:rFonts w:hAnsi="宋体"/>
        </w:rPr>
      </w:pPr>
      <w:r>
        <w:rPr>
          <w:rFonts w:hint="eastAsia" w:hAnsi="宋体"/>
        </w:rPr>
        <w:t>法定代表人或授权代表（签字或加盖个人名章）：</w:t>
      </w:r>
    </w:p>
    <w:p w14:paraId="2D3DDA5B">
      <w:pPr>
        <w:spacing w:line="360" w:lineRule="auto"/>
        <w:ind w:firstLine="480" w:firstLineChars="200"/>
        <w:rPr>
          <w:rFonts w:hAnsi="宋体"/>
        </w:rPr>
      </w:pPr>
      <w:r>
        <w:rPr>
          <w:rFonts w:hint="eastAsia" w:hAnsi="宋体"/>
        </w:rPr>
        <w:t>日期：</w:t>
      </w:r>
    </w:p>
    <w:p w14:paraId="4AB2949C">
      <w:pPr>
        <w:pStyle w:val="14"/>
        <w:spacing w:line="360" w:lineRule="auto"/>
        <w:ind w:left="480"/>
        <w:rPr>
          <w:rFonts w:ascii="宋体" w:hAnsi="宋体"/>
        </w:rPr>
      </w:pPr>
    </w:p>
    <w:p w14:paraId="4CF33F28">
      <w:pPr>
        <w:pStyle w:val="14"/>
        <w:spacing w:line="360" w:lineRule="auto"/>
        <w:ind w:left="0" w:leftChars="0"/>
        <w:rPr>
          <w:rFonts w:ascii="宋体" w:hAnsi="宋体"/>
        </w:rPr>
      </w:pPr>
    </w:p>
    <w:p w14:paraId="22A40388">
      <w:pPr>
        <w:widowControl/>
        <w:spacing w:line="360" w:lineRule="auto"/>
        <w:jc w:val="left"/>
        <w:rPr>
          <w:rFonts w:hAnsi="宋体" w:cs="宋体"/>
          <w:b/>
          <w:bCs/>
          <w:szCs w:val="24"/>
        </w:rPr>
      </w:pPr>
      <w:r>
        <w:rPr>
          <w:rFonts w:hAnsi="宋体" w:cs="宋体"/>
          <w:szCs w:val="24"/>
        </w:rPr>
        <w:br w:type="page"/>
      </w:r>
    </w:p>
    <w:p w14:paraId="7F264584">
      <w:pPr>
        <w:pStyle w:val="4"/>
        <w:spacing w:before="0" w:after="0" w:line="360" w:lineRule="auto"/>
        <w:jc w:val="center"/>
      </w:pPr>
      <w:bookmarkStart w:id="429" w:name="_Toc138168024"/>
      <w:bookmarkStart w:id="430" w:name="_Toc170477122"/>
      <w:bookmarkStart w:id="431" w:name="_Toc18662"/>
      <w:bookmarkStart w:id="432" w:name="_Toc137714850"/>
      <w:bookmarkStart w:id="433" w:name="_Toc138168014"/>
      <w:r>
        <w:rPr>
          <w:rFonts w:hint="eastAsia"/>
        </w:rPr>
        <w:t>四、无行贿犯罪记录的承诺函</w:t>
      </w:r>
      <w:bookmarkEnd w:id="429"/>
      <w:bookmarkEnd w:id="430"/>
      <w:bookmarkEnd w:id="431"/>
    </w:p>
    <w:p w14:paraId="36E069A2">
      <w:pPr>
        <w:spacing w:line="360" w:lineRule="auto"/>
        <w:rPr>
          <w:sz w:val="28"/>
          <w:szCs w:val="28"/>
        </w:rPr>
      </w:pPr>
    </w:p>
    <w:p w14:paraId="7617B809">
      <w:pPr>
        <w:adjustRightInd w:val="0"/>
        <w:spacing w:line="360" w:lineRule="auto"/>
        <w:ind w:right="480" w:rightChars="200"/>
        <w:jc w:val="left"/>
        <w:rPr>
          <w:rFonts w:hAnsi="宋体" w:cs="宋体"/>
          <w:spacing w:val="8"/>
          <w:szCs w:val="24"/>
        </w:rPr>
      </w:pPr>
      <w:r>
        <w:rPr>
          <w:rFonts w:hint="eastAsia" w:hAnsi="宋体" w:cs="宋体"/>
          <w:spacing w:val="8"/>
          <w:szCs w:val="24"/>
          <w:u w:val="single"/>
        </w:rPr>
        <w:t xml:space="preserve">             （采购人名称、采购代理机构名称）</w:t>
      </w:r>
      <w:r>
        <w:rPr>
          <w:rFonts w:hint="eastAsia" w:hAnsi="宋体" w:cs="宋体"/>
          <w:spacing w:val="8"/>
          <w:szCs w:val="24"/>
        </w:rPr>
        <w:t>：</w:t>
      </w:r>
    </w:p>
    <w:p w14:paraId="6C0A2C2E">
      <w:pPr>
        <w:spacing w:line="360" w:lineRule="auto"/>
        <w:ind w:firstLine="540"/>
        <w:rPr>
          <w:szCs w:val="24"/>
        </w:rPr>
      </w:pPr>
      <w:r>
        <w:rPr>
          <w:rFonts w:hint="eastAsia"/>
          <w:szCs w:val="24"/>
          <w:u w:val="single"/>
        </w:rPr>
        <w:t xml:space="preserve">             </w:t>
      </w:r>
      <w:r>
        <w:rPr>
          <w:rFonts w:hint="eastAsia"/>
          <w:szCs w:val="24"/>
        </w:rPr>
        <w:t>（供应商名称）在参加本次政府采购活动前3年内公司及</w:t>
      </w:r>
      <w:r>
        <w:rPr>
          <w:szCs w:val="24"/>
        </w:rPr>
        <w:t>法定代表人</w:t>
      </w:r>
      <w:r>
        <w:rPr>
          <w:rFonts w:hint="eastAsia"/>
          <w:szCs w:val="24"/>
        </w:rPr>
        <w:t>（非法人负责人、自然人本人）在前3年内无行贿犯罪记录。</w:t>
      </w:r>
    </w:p>
    <w:p w14:paraId="1E4114AA">
      <w:pPr>
        <w:spacing w:line="360" w:lineRule="auto"/>
        <w:ind w:firstLine="540"/>
        <w:rPr>
          <w:szCs w:val="24"/>
        </w:rPr>
      </w:pPr>
      <w:r>
        <w:rPr>
          <w:szCs w:val="24"/>
        </w:rPr>
        <w:t>本单位</w:t>
      </w:r>
      <w:r>
        <w:rPr>
          <w:rFonts w:hint="eastAsia"/>
          <w:szCs w:val="24"/>
        </w:rPr>
        <w:t>（个人）对上述声明内容事项真实性负责，如有虚假，由我单位（个人）承担相关法律责任。</w:t>
      </w:r>
    </w:p>
    <w:p w14:paraId="59E434B6">
      <w:pPr>
        <w:spacing w:line="360" w:lineRule="auto"/>
        <w:ind w:firstLine="540"/>
        <w:rPr>
          <w:szCs w:val="24"/>
        </w:rPr>
      </w:pPr>
      <w:r>
        <w:rPr>
          <w:rFonts w:hint="eastAsia"/>
          <w:szCs w:val="24"/>
        </w:rPr>
        <w:t>特此声明。</w:t>
      </w:r>
    </w:p>
    <w:p w14:paraId="28DDC5AD">
      <w:pPr>
        <w:spacing w:line="360" w:lineRule="auto"/>
        <w:ind w:firstLine="540"/>
        <w:rPr>
          <w:szCs w:val="24"/>
        </w:rPr>
      </w:pPr>
    </w:p>
    <w:p w14:paraId="000E12B8">
      <w:pPr>
        <w:spacing w:line="360" w:lineRule="auto"/>
        <w:ind w:firstLine="470" w:firstLineChars="196"/>
        <w:rPr>
          <w:rFonts w:hAnsi="宋体" w:cs="宋体"/>
          <w:szCs w:val="24"/>
        </w:rPr>
      </w:pPr>
      <w:r>
        <w:rPr>
          <w:rFonts w:hint="eastAsia" w:hAnsi="宋体" w:cs="宋体"/>
          <w:szCs w:val="24"/>
        </w:rPr>
        <w:t>供应商名称：（单位公章）</w:t>
      </w:r>
    </w:p>
    <w:p w14:paraId="7AE8DCA2">
      <w:pPr>
        <w:spacing w:line="360" w:lineRule="auto"/>
        <w:ind w:firstLine="470" w:firstLineChars="196"/>
        <w:rPr>
          <w:rFonts w:hAnsi="宋体" w:cs="宋体"/>
          <w:szCs w:val="24"/>
        </w:rPr>
      </w:pPr>
      <w:r>
        <w:rPr>
          <w:rFonts w:hint="eastAsia" w:hAnsi="宋体" w:cs="宋体"/>
          <w:szCs w:val="24"/>
        </w:rPr>
        <w:t>法定代表人或授权代理人（签字或盖章）：</w:t>
      </w:r>
    </w:p>
    <w:p w14:paraId="5C6D69FE">
      <w:pPr>
        <w:spacing w:line="360" w:lineRule="auto"/>
        <w:ind w:firstLine="470" w:firstLineChars="196"/>
        <w:rPr>
          <w:rFonts w:hAnsi="宋体" w:cs="宋体"/>
          <w:szCs w:val="24"/>
        </w:rPr>
      </w:pPr>
      <w:r>
        <w:rPr>
          <w:rFonts w:hint="eastAsia" w:hAnsi="宋体" w:cs="宋体"/>
          <w:szCs w:val="24"/>
        </w:rPr>
        <w:t>日    期：</w:t>
      </w:r>
    </w:p>
    <w:p w14:paraId="1AB46F2F">
      <w:pPr>
        <w:spacing w:line="360" w:lineRule="auto"/>
        <w:ind w:firstLine="540"/>
        <w:rPr>
          <w:sz w:val="28"/>
          <w:szCs w:val="28"/>
        </w:rPr>
      </w:pPr>
      <w:r>
        <w:rPr>
          <w:rFonts w:hint="eastAsia"/>
          <w:sz w:val="28"/>
          <w:szCs w:val="28"/>
        </w:rPr>
        <w:t xml:space="preserve"> </w:t>
      </w:r>
    </w:p>
    <w:p w14:paraId="0AB2A008">
      <w:pPr>
        <w:spacing w:line="360" w:lineRule="auto"/>
        <w:ind w:firstLine="540"/>
        <w:rPr>
          <w:sz w:val="28"/>
          <w:szCs w:val="28"/>
        </w:rPr>
      </w:pPr>
      <w:r>
        <w:rPr>
          <w:sz w:val="28"/>
          <w:szCs w:val="28"/>
        </w:rPr>
        <w:br w:type="page"/>
      </w:r>
    </w:p>
    <w:p w14:paraId="6D09A52F">
      <w:pPr>
        <w:pStyle w:val="4"/>
        <w:spacing w:before="0" w:after="0" w:line="360" w:lineRule="auto"/>
        <w:rPr>
          <w:rFonts w:hAnsi="宋体"/>
          <w:bCs w:val="0"/>
          <w:szCs w:val="22"/>
        </w:rPr>
      </w:pPr>
      <w:bookmarkStart w:id="434" w:name="_Toc3480"/>
      <w:bookmarkStart w:id="435" w:name="_Toc170477123"/>
      <w:r>
        <w:rPr>
          <w:rFonts w:hint="eastAsia" w:hAnsi="宋体"/>
          <w:bCs w:val="0"/>
          <w:szCs w:val="22"/>
        </w:rPr>
        <w:t>五</w:t>
      </w:r>
      <w:r>
        <w:rPr>
          <w:rFonts w:hAnsi="宋体"/>
          <w:bCs w:val="0"/>
          <w:szCs w:val="22"/>
        </w:rPr>
        <w:t>、</w:t>
      </w:r>
      <w:r>
        <w:rPr>
          <w:rFonts w:hint="eastAsia" w:hAnsi="宋体"/>
          <w:bCs w:val="0"/>
          <w:szCs w:val="22"/>
        </w:rPr>
        <w:t>供应商其他资格、资质性及其他类似效力要求的相关证明材料</w:t>
      </w:r>
      <w:bookmarkEnd w:id="432"/>
      <w:bookmarkEnd w:id="433"/>
      <w:bookmarkEnd w:id="434"/>
      <w:bookmarkEnd w:id="435"/>
    </w:p>
    <w:p w14:paraId="6E6E12B4">
      <w:pPr>
        <w:spacing w:line="360" w:lineRule="auto"/>
        <w:rPr>
          <w:rFonts w:cs="宋体"/>
          <w:bCs/>
        </w:rPr>
      </w:pPr>
    </w:p>
    <w:p w14:paraId="2BBC0251">
      <w:pPr>
        <w:spacing w:line="360" w:lineRule="auto"/>
        <w:ind w:firstLine="480" w:firstLineChars="200"/>
        <w:rPr>
          <w:rFonts w:cs="宋体"/>
          <w:bCs/>
        </w:rPr>
      </w:pPr>
      <w:r>
        <w:rPr>
          <w:rFonts w:hint="eastAsia" w:cs="宋体"/>
          <w:bCs/>
        </w:rPr>
        <w:t>注：供应商应按磋商文件第三章相关要求提供佐证材料，有格式要求的从其要求，无格式要求的格式自拟。</w:t>
      </w:r>
    </w:p>
    <w:p w14:paraId="0C30F4D1">
      <w:pPr>
        <w:pStyle w:val="3"/>
        <w:spacing w:line="360" w:lineRule="auto"/>
        <w:rPr>
          <w:rFonts w:ascii="宋体" w:eastAsia="宋体"/>
          <w:sz w:val="36"/>
          <w:szCs w:val="36"/>
        </w:rPr>
      </w:pPr>
      <w:r>
        <w:rPr>
          <w:rFonts w:hint="eastAsia" w:ascii="宋体" w:cs="宋体"/>
          <w:sz w:val="24"/>
        </w:rPr>
        <w:br w:type="page"/>
      </w:r>
      <w:bookmarkStart w:id="436" w:name="_Toc138168015"/>
      <w:bookmarkStart w:id="437" w:name="_Toc137714851"/>
      <w:bookmarkStart w:id="438" w:name="_Toc170477124"/>
      <w:bookmarkStart w:id="439" w:name="_Toc23198"/>
      <w:bookmarkStart w:id="440" w:name="_Toc138167935"/>
      <w:r>
        <w:rPr>
          <w:rFonts w:hint="eastAsia" w:ascii="宋体" w:eastAsia="宋体"/>
          <w:sz w:val="36"/>
          <w:szCs w:val="36"/>
        </w:rPr>
        <w:t>第二部分  “其他响应文件”格式</w:t>
      </w:r>
      <w:bookmarkEnd w:id="436"/>
      <w:bookmarkEnd w:id="437"/>
      <w:bookmarkEnd w:id="438"/>
      <w:bookmarkEnd w:id="439"/>
      <w:bookmarkEnd w:id="440"/>
    </w:p>
    <w:p w14:paraId="09C3CD60">
      <w:pPr>
        <w:spacing w:line="360" w:lineRule="auto"/>
        <w:rPr>
          <w:rFonts w:hAnsi="宋体" w:cs="宋体"/>
          <w:szCs w:val="24"/>
        </w:rPr>
      </w:pPr>
    </w:p>
    <w:p w14:paraId="2D4B81F4">
      <w:pPr>
        <w:jc w:val="right"/>
        <w:rPr>
          <w:rFonts w:cs="宋体"/>
          <w:b/>
          <w:sz w:val="36"/>
        </w:rPr>
      </w:pPr>
      <w:r>
        <w:rPr>
          <w:rFonts w:hint="eastAsia" w:cs="宋体"/>
          <w:b/>
          <w:sz w:val="36"/>
        </w:rPr>
        <w:t>（正本/副本）</w:t>
      </w:r>
    </w:p>
    <w:p w14:paraId="59D009CF">
      <w:pPr>
        <w:spacing w:line="360" w:lineRule="auto"/>
        <w:rPr>
          <w:rFonts w:hAnsi="宋体" w:cs="宋体"/>
          <w:szCs w:val="24"/>
        </w:rPr>
      </w:pPr>
    </w:p>
    <w:p w14:paraId="0424E07C">
      <w:pPr>
        <w:pStyle w:val="8"/>
        <w:spacing w:line="360" w:lineRule="auto"/>
        <w:jc w:val="center"/>
        <w:rPr>
          <w:rFonts w:ascii="宋体" w:hAnsi="宋体" w:eastAsia="宋体" w:cs="宋体"/>
          <w:b/>
          <w:bCs w:val="0"/>
          <w:sz w:val="44"/>
          <w:szCs w:val="44"/>
        </w:rPr>
      </w:pPr>
    </w:p>
    <w:p w14:paraId="210647B1">
      <w:pPr>
        <w:pStyle w:val="8"/>
        <w:spacing w:line="360" w:lineRule="auto"/>
        <w:jc w:val="center"/>
        <w:rPr>
          <w:rFonts w:ascii="宋体" w:hAnsi="宋体" w:eastAsia="宋体" w:cs="宋体"/>
          <w:b/>
          <w:bCs w:val="0"/>
          <w:sz w:val="72"/>
          <w:szCs w:val="72"/>
        </w:rPr>
      </w:pPr>
      <w:r>
        <w:rPr>
          <w:rFonts w:hint="eastAsia" w:ascii="宋体" w:hAnsi="宋体" w:eastAsia="宋体" w:cs="宋体"/>
          <w:b/>
          <w:bCs w:val="0"/>
          <w:sz w:val="72"/>
          <w:szCs w:val="72"/>
        </w:rPr>
        <w:t>其他响应文件</w:t>
      </w:r>
    </w:p>
    <w:p w14:paraId="0D8EC9BE"/>
    <w:p w14:paraId="35694056">
      <w:pPr>
        <w:spacing w:line="360" w:lineRule="auto"/>
        <w:jc w:val="center"/>
        <w:rPr>
          <w:rFonts w:hAnsi="宋体" w:cs="宋体"/>
          <w:spacing w:val="78"/>
          <w:szCs w:val="24"/>
        </w:rPr>
      </w:pPr>
    </w:p>
    <w:p w14:paraId="54D757B7">
      <w:pPr>
        <w:spacing w:line="360" w:lineRule="auto"/>
        <w:jc w:val="center"/>
        <w:rPr>
          <w:rFonts w:hAnsi="宋体" w:cs="宋体"/>
          <w:spacing w:val="78"/>
          <w:szCs w:val="24"/>
        </w:rPr>
      </w:pPr>
    </w:p>
    <w:p w14:paraId="59FF4339">
      <w:pPr>
        <w:spacing w:line="360" w:lineRule="auto"/>
        <w:ind w:firstLine="630" w:firstLineChars="196"/>
        <w:jc w:val="left"/>
        <w:rPr>
          <w:rFonts w:hAnsi="宋体" w:cs="宋体"/>
          <w:b/>
          <w:bCs/>
          <w:sz w:val="32"/>
          <w:szCs w:val="32"/>
        </w:rPr>
      </w:pPr>
    </w:p>
    <w:p w14:paraId="1C5F388D">
      <w:pPr>
        <w:spacing w:line="360" w:lineRule="auto"/>
        <w:ind w:firstLine="630" w:firstLineChars="196"/>
        <w:jc w:val="left"/>
        <w:rPr>
          <w:rFonts w:hAnsi="宋体" w:cs="宋体"/>
          <w:b/>
          <w:bCs/>
          <w:sz w:val="32"/>
          <w:szCs w:val="32"/>
        </w:rPr>
      </w:pPr>
      <w:r>
        <w:rPr>
          <w:rFonts w:hint="eastAsia" w:hAnsi="宋体" w:cs="宋体"/>
          <w:b/>
          <w:bCs/>
          <w:sz w:val="32"/>
          <w:szCs w:val="32"/>
        </w:rPr>
        <w:t>采购项目名称：</w:t>
      </w:r>
      <w:r>
        <w:rPr>
          <w:rFonts w:hint="eastAsia" w:hAnsi="宋体" w:cs="宋体"/>
          <w:b/>
          <w:bCs/>
          <w:sz w:val="32"/>
          <w:szCs w:val="32"/>
          <w:u w:val="single"/>
        </w:rPr>
        <w:t xml:space="preserve">                                   </w:t>
      </w:r>
    </w:p>
    <w:p w14:paraId="678F8C05">
      <w:pPr>
        <w:spacing w:line="360" w:lineRule="auto"/>
        <w:ind w:firstLine="630" w:firstLineChars="196"/>
        <w:jc w:val="left"/>
        <w:rPr>
          <w:rFonts w:hAnsi="宋体" w:cs="宋体"/>
          <w:b/>
          <w:sz w:val="32"/>
          <w:szCs w:val="32"/>
          <w:u w:val="single"/>
        </w:rPr>
      </w:pPr>
      <w:r>
        <w:rPr>
          <w:rFonts w:hint="eastAsia" w:hAnsi="宋体" w:cs="宋体"/>
          <w:b/>
          <w:bCs/>
          <w:sz w:val="32"/>
          <w:szCs w:val="32"/>
        </w:rPr>
        <w:t>采购项目编号：</w:t>
      </w:r>
      <w:r>
        <w:rPr>
          <w:rFonts w:hint="eastAsia" w:hAnsi="宋体" w:cs="宋体"/>
          <w:b/>
          <w:sz w:val="32"/>
          <w:szCs w:val="32"/>
          <w:u w:val="single"/>
        </w:rPr>
        <w:t xml:space="preserve">                                   </w:t>
      </w:r>
    </w:p>
    <w:p w14:paraId="5FA5B411">
      <w:pPr>
        <w:spacing w:line="360" w:lineRule="auto"/>
        <w:ind w:firstLine="630" w:firstLineChars="196"/>
        <w:jc w:val="left"/>
        <w:rPr>
          <w:b/>
          <w:bCs/>
          <w:sz w:val="32"/>
          <w:szCs w:val="32"/>
          <w:u w:val="single"/>
        </w:rPr>
      </w:pPr>
      <w:r>
        <w:rPr>
          <w:b/>
          <w:bCs/>
          <w:sz w:val="32"/>
          <w:szCs w:val="32"/>
        </w:rPr>
        <w:t>分包号及名称（若有）：</w:t>
      </w:r>
      <w:r>
        <w:rPr>
          <w:rFonts w:hint="eastAsia"/>
          <w:b/>
          <w:bCs/>
          <w:sz w:val="32"/>
          <w:szCs w:val="32"/>
          <w:u w:val="single"/>
        </w:rPr>
        <w:t xml:space="preserve"> </w:t>
      </w:r>
      <w:r>
        <w:rPr>
          <w:b/>
          <w:bCs/>
          <w:sz w:val="32"/>
          <w:szCs w:val="32"/>
          <w:u w:val="single"/>
        </w:rPr>
        <w:t xml:space="preserve">                          </w:t>
      </w:r>
    </w:p>
    <w:p w14:paraId="16F9BB4B">
      <w:pPr>
        <w:spacing w:line="360" w:lineRule="auto"/>
        <w:ind w:firstLine="630" w:firstLineChars="196"/>
        <w:jc w:val="left"/>
        <w:rPr>
          <w:b/>
          <w:bCs/>
          <w:sz w:val="32"/>
          <w:szCs w:val="32"/>
        </w:rPr>
      </w:pPr>
    </w:p>
    <w:p w14:paraId="37DE3B0D">
      <w:pPr>
        <w:spacing w:line="360" w:lineRule="auto"/>
        <w:ind w:firstLine="630" w:firstLineChars="196"/>
        <w:jc w:val="left"/>
        <w:rPr>
          <w:b/>
          <w:bCs/>
          <w:sz w:val="32"/>
          <w:szCs w:val="32"/>
        </w:rPr>
      </w:pPr>
    </w:p>
    <w:p w14:paraId="07DF6EB0">
      <w:pPr>
        <w:spacing w:line="360" w:lineRule="auto"/>
        <w:ind w:firstLine="630" w:firstLineChars="196"/>
        <w:jc w:val="left"/>
        <w:rPr>
          <w:b/>
          <w:bCs/>
          <w:sz w:val="32"/>
          <w:szCs w:val="32"/>
        </w:rPr>
      </w:pPr>
    </w:p>
    <w:p w14:paraId="25CA660D">
      <w:pPr>
        <w:spacing w:line="360" w:lineRule="auto"/>
        <w:ind w:firstLine="630" w:firstLineChars="196"/>
        <w:jc w:val="left"/>
        <w:rPr>
          <w:b/>
          <w:bCs/>
          <w:sz w:val="32"/>
          <w:szCs w:val="32"/>
        </w:rPr>
      </w:pPr>
    </w:p>
    <w:p w14:paraId="2B87D0F4">
      <w:pPr>
        <w:spacing w:line="360" w:lineRule="auto"/>
        <w:ind w:firstLine="630" w:firstLineChars="196"/>
        <w:jc w:val="left"/>
        <w:rPr>
          <w:b/>
          <w:bCs/>
          <w:sz w:val="32"/>
          <w:szCs w:val="32"/>
        </w:rPr>
      </w:pPr>
    </w:p>
    <w:p w14:paraId="67BE2EE9">
      <w:pPr>
        <w:spacing w:line="360" w:lineRule="auto"/>
        <w:ind w:firstLine="630" w:firstLineChars="196"/>
        <w:jc w:val="left"/>
        <w:rPr>
          <w:b/>
          <w:bCs/>
          <w:sz w:val="32"/>
          <w:szCs w:val="32"/>
        </w:rPr>
      </w:pPr>
    </w:p>
    <w:p w14:paraId="1DC8DCC1">
      <w:pPr>
        <w:spacing w:line="360" w:lineRule="auto"/>
        <w:ind w:firstLine="630" w:firstLineChars="196"/>
        <w:jc w:val="left"/>
        <w:rPr>
          <w:b/>
          <w:bCs/>
          <w:sz w:val="32"/>
          <w:szCs w:val="32"/>
          <w:u w:val="single"/>
        </w:rPr>
      </w:pPr>
      <w:r>
        <w:rPr>
          <w:rFonts w:hint="eastAsia"/>
          <w:b/>
          <w:bCs/>
          <w:sz w:val="32"/>
          <w:szCs w:val="32"/>
        </w:rPr>
        <w:t>供应商名称（盖章）：</w:t>
      </w:r>
      <w:r>
        <w:rPr>
          <w:rFonts w:hint="eastAsia"/>
          <w:b/>
          <w:bCs/>
          <w:sz w:val="32"/>
          <w:szCs w:val="32"/>
          <w:u w:val="single"/>
        </w:rPr>
        <w:t xml:space="preserve">                             </w:t>
      </w:r>
    </w:p>
    <w:p w14:paraId="75B2B1B9">
      <w:pPr>
        <w:spacing w:line="360" w:lineRule="auto"/>
        <w:ind w:firstLine="630" w:firstLineChars="196"/>
        <w:rPr>
          <w:b/>
          <w:bCs/>
          <w:sz w:val="32"/>
          <w:szCs w:val="32"/>
          <w:u w:val="single"/>
        </w:rPr>
      </w:pPr>
      <w:r>
        <w:rPr>
          <w:b/>
          <w:bCs/>
          <w:sz w:val="32"/>
          <w:szCs w:val="32"/>
        </w:rPr>
        <w:t>法定代表人或授权代理人（签字或盖章）：</w:t>
      </w:r>
      <w:r>
        <w:rPr>
          <w:rFonts w:hint="eastAsia"/>
          <w:b/>
          <w:bCs/>
          <w:sz w:val="32"/>
          <w:szCs w:val="32"/>
          <w:u w:val="single"/>
        </w:rPr>
        <w:t xml:space="preserve"> </w:t>
      </w:r>
      <w:r>
        <w:rPr>
          <w:b/>
          <w:bCs/>
          <w:sz w:val="32"/>
          <w:szCs w:val="32"/>
          <w:u w:val="single"/>
        </w:rPr>
        <w:t xml:space="preserve">          </w:t>
      </w:r>
    </w:p>
    <w:p w14:paraId="7ADBB812">
      <w:pPr>
        <w:spacing w:line="360" w:lineRule="auto"/>
        <w:ind w:firstLine="630" w:firstLineChars="196"/>
        <w:jc w:val="center"/>
        <w:rPr>
          <w:sz w:val="36"/>
          <w:szCs w:val="36"/>
        </w:rPr>
      </w:pPr>
      <w:r>
        <w:rPr>
          <w:rFonts w:hint="eastAsia"/>
          <w:b/>
          <w:bCs/>
          <w:sz w:val="32"/>
          <w:szCs w:val="32"/>
        </w:rPr>
        <w:t>日 期：</w:t>
      </w: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14:paraId="7152EB26">
      <w:pPr>
        <w:pStyle w:val="4"/>
        <w:spacing w:before="0" w:after="0" w:line="360" w:lineRule="auto"/>
        <w:jc w:val="center"/>
        <w:rPr>
          <w:rFonts w:hAnsi="宋体"/>
          <w:bCs w:val="0"/>
          <w:szCs w:val="22"/>
        </w:rPr>
      </w:pPr>
      <w:r>
        <w:rPr>
          <w:rFonts w:hint="eastAsia" w:hAnsi="宋体" w:cs="宋体"/>
          <w:b w:val="0"/>
          <w:sz w:val="24"/>
          <w:szCs w:val="24"/>
        </w:rPr>
        <w:br w:type="page"/>
      </w:r>
      <w:bookmarkStart w:id="441" w:name="_Toc138168016"/>
      <w:bookmarkStart w:id="442" w:name="_Toc5995"/>
      <w:bookmarkStart w:id="443" w:name="_Toc170477125"/>
      <w:r>
        <w:rPr>
          <w:rFonts w:hint="eastAsia" w:hAnsi="宋体"/>
          <w:bCs w:val="0"/>
          <w:szCs w:val="22"/>
        </w:rPr>
        <w:t>一、磋商函</w:t>
      </w:r>
      <w:bookmarkEnd w:id="441"/>
      <w:bookmarkEnd w:id="442"/>
      <w:bookmarkEnd w:id="443"/>
    </w:p>
    <w:p w14:paraId="2C633EC5">
      <w:pPr>
        <w:adjustRightInd w:val="0"/>
        <w:spacing w:line="360" w:lineRule="auto"/>
        <w:ind w:right="480" w:rightChars="200"/>
        <w:jc w:val="left"/>
        <w:rPr>
          <w:rFonts w:hAnsi="宋体" w:cs="宋体"/>
          <w:spacing w:val="8"/>
        </w:rPr>
      </w:pPr>
      <w:r>
        <w:rPr>
          <w:rFonts w:hint="eastAsia" w:hAnsi="宋体" w:cs="宋体"/>
          <w:spacing w:val="8"/>
          <w:u w:val="single"/>
        </w:rPr>
        <w:t xml:space="preserve">             （采购人名称、采购代理机构名称） </w:t>
      </w:r>
      <w:r>
        <w:rPr>
          <w:rFonts w:hint="eastAsia" w:hAnsi="宋体" w:cs="宋体"/>
          <w:spacing w:val="8"/>
        </w:rPr>
        <w:t>：</w:t>
      </w:r>
    </w:p>
    <w:p w14:paraId="5C792D38">
      <w:pPr>
        <w:pStyle w:val="14"/>
        <w:spacing w:after="0" w:line="360" w:lineRule="auto"/>
        <w:ind w:left="0" w:leftChars="0" w:firstLine="480" w:firstLineChars="200"/>
        <w:rPr>
          <w:rFonts w:ascii="宋体" w:hAnsi="宋体" w:cs="宋体"/>
          <w:bCs/>
          <w:sz w:val="24"/>
        </w:rPr>
      </w:pPr>
      <w:r>
        <w:rPr>
          <w:rFonts w:hint="eastAsia" w:ascii="宋体" w:hAnsi="宋体" w:cs="宋体"/>
          <w:bCs/>
          <w:sz w:val="24"/>
        </w:rPr>
        <w:t xml:space="preserve">我方全面研究了“ </w:t>
      </w:r>
      <w:r>
        <w:rPr>
          <w:rFonts w:hint="eastAsia" w:ascii="宋体" w:hAnsi="宋体" w:cs="宋体"/>
          <w:bCs/>
          <w:sz w:val="24"/>
          <w:u w:val="single"/>
        </w:rPr>
        <w:t xml:space="preserve">采购项目名称  </w:t>
      </w:r>
      <w:r>
        <w:rPr>
          <w:rFonts w:hint="eastAsia" w:ascii="宋体" w:hAnsi="宋体" w:cs="宋体"/>
          <w:bCs/>
          <w:sz w:val="24"/>
        </w:rPr>
        <w:t>”  （</w:t>
      </w:r>
      <w:r>
        <w:rPr>
          <w:rFonts w:hint="eastAsia" w:ascii="宋体" w:hAnsi="宋体" w:cs="宋体"/>
          <w:bCs/>
          <w:sz w:val="24"/>
          <w:u w:val="single"/>
        </w:rPr>
        <w:t xml:space="preserve">采购项目编号） </w:t>
      </w:r>
      <w:r>
        <w:rPr>
          <w:rFonts w:hint="eastAsia" w:ascii="宋体" w:hAnsi="宋体" w:cs="宋体"/>
          <w:bCs/>
          <w:sz w:val="24"/>
        </w:rPr>
        <w:t>竞争性磋商文件，决定参加贵单位组织的本项目磋商，</w:t>
      </w:r>
      <w:r>
        <w:rPr>
          <w:rFonts w:hint="eastAsia" w:ascii="宋体" w:hAnsi="宋体" w:cs="宋体"/>
          <w:sz w:val="24"/>
        </w:rPr>
        <w:t>并自觉遵守</w:t>
      </w:r>
      <w:r>
        <w:rPr>
          <w:rFonts w:hint="eastAsia" w:ascii="宋体" w:hAnsi="宋体" w:cs="宋体"/>
          <w:bCs/>
          <w:sz w:val="24"/>
        </w:rPr>
        <w:t>《中华人民共和国招标投标法》、《中华人民共和国招标投标法实施条例》等相关规定</w:t>
      </w:r>
      <w:r>
        <w:rPr>
          <w:rFonts w:hint="eastAsia" w:ascii="宋体" w:hAnsi="宋体" w:cs="宋体"/>
          <w:sz w:val="24"/>
        </w:rPr>
        <w:t>，遵守磋商规则，维护正常的采购秩序。</w:t>
      </w:r>
      <w:r>
        <w:rPr>
          <w:rFonts w:hint="eastAsia" w:ascii="宋体" w:hAnsi="宋体" w:cs="宋体"/>
          <w:bCs/>
          <w:sz w:val="24"/>
        </w:rPr>
        <w:t>我方授权</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rPr>
        <w:t>（姓名、职务）代表我方</w:t>
      </w:r>
      <w:r>
        <w:rPr>
          <w:rFonts w:hint="eastAsia" w:ascii="宋体" w:hAnsi="宋体" w:cs="宋体"/>
          <w:bCs/>
          <w:sz w:val="24"/>
          <w:u w:val="single"/>
        </w:rPr>
        <w:t xml:space="preserve">         </w:t>
      </w:r>
      <w:r>
        <w:rPr>
          <w:rFonts w:hint="eastAsia" w:ascii="宋体" w:hAnsi="宋体" w:cs="宋体"/>
          <w:bCs/>
          <w:sz w:val="24"/>
        </w:rPr>
        <w:t>（供应商名称）全权处理本项目磋商的有关事宜。</w:t>
      </w:r>
    </w:p>
    <w:p w14:paraId="3CEAAD5C">
      <w:pPr>
        <w:tabs>
          <w:tab w:val="left" w:pos="312"/>
        </w:tabs>
        <w:spacing w:line="360" w:lineRule="auto"/>
        <w:ind w:firstLine="480" w:firstLineChars="200"/>
        <w:rPr>
          <w:rFonts w:hAnsi="宋体" w:cs="宋体"/>
          <w:bCs/>
        </w:rPr>
      </w:pPr>
      <w:r>
        <w:rPr>
          <w:rFonts w:hAnsi="宋体" w:cs="宋体"/>
          <w:bCs/>
        </w:rPr>
        <w:t>1</w:t>
      </w:r>
      <w:r>
        <w:rPr>
          <w:rFonts w:hint="eastAsia" w:hAnsi="宋体" w:cs="宋体"/>
          <w:bCs/>
        </w:rPr>
        <w:t>、我方自愿按照竞争性磋商文件规定的各项要求向采购人提供所需服务，首次磋商报价为：</w:t>
      </w:r>
      <w:r>
        <w:rPr>
          <w:rFonts w:hint="eastAsia" w:hAnsi="宋体" w:cs="宋体"/>
          <w:bCs/>
          <w:u w:val="single"/>
        </w:rPr>
        <w:t xml:space="preserve"> </w:t>
      </w:r>
      <w:r>
        <w:rPr>
          <w:rFonts w:hAnsi="宋体" w:cs="宋体"/>
          <w:bCs/>
          <w:u w:val="single"/>
        </w:rPr>
        <w:t xml:space="preserve">       元</w:t>
      </w:r>
      <w:r>
        <w:rPr>
          <w:rFonts w:hint="eastAsia" w:hAnsi="宋体" w:cs="宋体"/>
          <w:bCs/>
        </w:rPr>
        <w:t>（大写：</w:t>
      </w:r>
      <w:r>
        <w:rPr>
          <w:rFonts w:hint="eastAsia" w:hAnsi="宋体" w:cs="宋体"/>
          <w:bCs/>
          <w:u w:val="single"/>
        </w:rPr>
        <w:t xml:space="preserve">        </w:t>
      </w:r>
      <w:r>
        <w:rPr>
          <w:rFonts w:hint="eastAsia" w:hAnsi="宋体" w:cs="宋体"/>
          <w:bCs/>
        </w:rPr>
        <w:t>）。</w:t>
      </w:r>
    </w:p>
    <w:p w14:paraId="0EC90D9C">
      <w:pPr>
        <w:spacing w:line="360" w:lineRule="auto"/>
        <w:ind w:firstLine="480" w:firstLineChars="200"/>
        <w:rPr>
          <w:rFonts w:hAnsi="宋体" w:cs="宋体"/>
          <w:bCs/>
        </w:rPr>
      </w:pPr>
      <w:r>
        <w:rPr>
          <w:rFonts w:hint="eastAsia" w:hAnsi="宋体" w:cs="宋体"/>
          <w:bCs/>
        </w:rPr>
        <w:t>2、一旦我方成交，我方将严格履行合同规定的责任和义务完成履约，保证于合同签字生效后</w:t>
      </w:r>
      <w:r>
        <w:rPr>
          <w:rFonts w:hint="eastAsia" w:hAnsi="宋体" w:cs="宋体"/>
          <w:bCs/>
          <w:u w:val="single"/>
        </w:rPr>
        <w:t xml:space="preserve">    </w:t>
      </w:r>
      <w:r>
        <w:rPr>
          <w:rFonts w:hint="eastAsia" w:hAnsi="宋体" w:cs="宋体"/>
          <w:bCs/>
        </w:rPr>
        <w:t>日内完成项目的履约，并交付采购单位验收、使用。</w:t>
      </w:r>
    </w:p>
    <w:p w14:paraId="7B748682">
      <w:pPr>
        <w:spacing w:line="360" w:lineRule="auto"/>
        <w:ind w:firstLine="480" w:firstLineChars="200"/>
        <w:rPr>
          <w:rFonts w:hAnsi="宋体" w:cs="宋体"/>
          <w:bCs/>
        </w:rPr>
      </w:pPr>
      <w:r>
        <w:rPr>
          <w:rFonts w:hint="eastAsia" w:hAnsi="宋体" w:cs="宋体"/>
          <w:bCs/>
        </w:rPr>
        <w:t>3、我方承诺：下列任何情况发生时，接受失信行为记录、曝光通报、罚款、一定时期禁入等相关处理：</w:t>
      </w:r>
    </w:p>
    <w:p w14:paraId="58C0B05A">
      <w:pPr>
        <w:spacing w:line="360" w:lineRule="auto"/>
        <w:ind w:firstLine="240" w:firstLineChars="100"/>
        <w:rPr>
          <w:rFonts w:hAnsi="宋体" w:cs="宋体"/>
          <w:bCs/>
        </w:rPr>
      </w:pPr>
      <w:r>
        <w:rPr>
          <w:rFonts w:hint="eastAsia" w:hAnsi="宋体" w:cs="宋体"/>
          <w:bCs/>
        </w:rPr>
        <w:t>（1）如果我方在磋商有效期内撤回磋商；</w:t>
      </w:r>
    </w:p>
    <w:p w14:paraId="682228DC">
      <w:pPr>
        <w:spacing w:line="360" w:lineRule="auto"/>
        <w:ind w:firstLine="240" w:firstLineChars="100"/>
        <w:rPr>
          <w:rFonts w:hAnsi="宋体" w:cs="宋体"/>
          <w:bCs/>
        </w:rPr>
      </w:pPr>
      <w:r>
        <w:rPr>
          <w:rFonts w:hint="eastAsia" w:hAnsi="宋体" w:cs="宋体"/>
          <w:bCs/>
        </w:rPr>
        <w:t>（2）我方提供了虚假响应竞争性磋商文件的响应文件；</w:t>
      </w:r>
    </w:p>
    <w:p w14:paraId="3A1A593F">
      <w:pPr>
        <w:spacing w:line="360" w:lineRule="auto"/>
        <w:ind w:firstLine="240" w:firstLineChars="100"/>
        <w:rPr>
          <w:rFonts w:hAnsi="宋体" w:cs="宋体"/>
          <w:bCs/>
        </w:rPr>
      </w:pPr>
      <w:r>
        <w:rPr>
          <w:rFonts w:hint="eastAsia" w:hAnsi="宋体" w:cs="宋体"/>
          <w:bCs/>
        </w:rPr>
        <w:t>（3）在磋商过程中有违法违规违纪行为（如采取不正当手段诋毁、排挤其他供应商；恶意串通；恶意质疑、投诉；向相关人员行贿或提供其他不正当利益）；</w:t>
      </w:r>
    </w:p>
    <w:p w14:paraId="4E6CB911">
      <w:pPr>
        <w:spacing w:line="360" w:lineRule="auto"/>
        <w:ind w:firstLine="240" w:firstLineChars="100"/>
        <w:rPr>
          <w:rFonts w:hAnsi="宋体" w:cs="宋体"/>
          <w:bCs/>
        </w:rPr>
      </w:pPr>
      <w:r>
        <w:rPr>
          <w:rFonts w:hint="eastAsia" w:hAnsi="宋体" w:cs="宋体"/>
          <w:bCs/>
        </w:rPr>
        <w:t>（4）我方无正当理由不按照竞争性磋商文件要求提交履约保证金；在磋商有效期内收到成交通知书后，由于我方原因未能按照竞争性磋商文件要求与采购人签订并履行合同。</w:t>
      </w:r>
    </w:p>
    <w:p w14:paraId="3CFA04D0">
      <w:pPr>
        <w:spacing w:line="360" w:lineRule="auto"/>
        <w:ind w:firstLine="480" w:firstLineChars="200"/>
        <w:rPr>
          <w:rFonts w:hAnsi="宋体" w:cs="宋体"/>
          <w:bCs/>
        </w:rPr>
      </w:pPr>
      <w:r>
        <w:rPr>
          <w:rFonts w:hint="eastAsia" w:hAnsi="宋体" w:cs="宋体"/>
          <w:bCs/>
        </w:rPr>
        <w:t>4、我方为本项目提交的资格性响应文件正本</w:t>
      </w:r>
      <w:r>
        <w:rPr>
          <w:rFonts w:hint="eastAsia" w:hAnsi="宋体" w:cs="宋体"/>
          <w:bCs/>
          <w:u w:val="single"/>
        </w:rPr>
        <w:t xml:space="preserve"> </w:t>
      </w:r>
      <w:r>
        <w:rPr>
          <w:rFonts w:hAnsi="宋体" w:cs="宋体"/>
          <w:bCs/>
          <w:u w:val="single"/>
        </w:rPr>
        <w:t xml:space="preserve">  </w:t>
      </w:r>
      <w:r>
        <w:rPr>
          <w:rFonts w:hint="eastAsia" w:hAnsi="宋体" w:cs="宋体"/>
          <w:bCs/>
          <w:u w:val="single"/>
        </w:rPr>
        <w:t xml:space="preserve"> </w:t>
      </w:r>
      <w:r>
        <w:rPr>
          <w:rFonts w:hint="eastAsia" w:hAnsi="宋体" w:cs="宋体"/>
          <w:bCs/>
        </w:rPr>
        <w:t>份，副本</w:t>
      </w:r>
      <w:r>
        <w:rPr>
          <w:rFonts w:hint="eastAsia" w:hAnsi="宋体" w:cs="宋体"/>
          <w:bCs/>
          <w:u w:val="single"/>
        </w:rPr>
        <w:t xml:space="preserve"> </w:t>
      </w:r>
      <w:r>
        <w:rPr>
          <w:rFonts w:hAnsi="宋体" w:cs="宋体"/>
          <w:bCs/>
          <w:u w:val="single"/>
        </w:rPr>
        <w:t xml:space="preserve">  </w:t>
      </w:r>
      <w:r>
        <w:rPr>
          <w:rFonts w:hint="eastAsia" w:hAnsi="宋体" w:cs="宋体"/>
          <w:bCs/>
          <w:u w:val="single"/>
        </w:rPr>
        <w:t xml:space="preserve"> </w:t>
      </w:r>
      <w:r>
        <w:rPr>
          <w:rFonts w:hint="eastAsia" w:hAnsi="宋体" w:cs="宋体"/>
          <w:bCs/>
        </w:rPr>
        <w:t>份；其他响应文件正本</w:t>
      </w:r>
      <w:r>
        <w:rPr>
          <w:rFonts w:hint="eastAsia" w:hAnsi="宋体" w:cs="宋体"/>
          <w:bCs/>
          <w:u w:val="single"/>
        </w:rPr>
        <w:t xml:space="preserve"> </w:t>
      </w:r>
      <w:r>
        <w:rPr>
          <w:rFonts w:hAnsi="宋体" w:cs="宋体"/>
          <w:bCs/>
          <w:u w:val="single"/>
        </w:rPr>
        <w:t xml:space="preserve">  </w:t>
      </w:r>
      <w:r>
        <w:rPr>
          <w:rFonts w:hint="eastAsia" w:hAnsi="宋体" w:cs="宋体"/>
          <w:bCs/>
          <w:u w:val="single"/>
        </w:rPr>
        <w:t xml:space="preserve"> </w:t>
      </w:r>
      <w:r>
        <w:rPr>
          <w:rFonts w:hint="eastAsia" w:hAnsi="宋体" w:cs="宋体"/>
          <w:bCs/>
        </w:rPr>
        <w:t>份，副本</w:t>
      </w:r>
      <w:r>
        <w:rPr>
          <w:rFonts w:hint="eastAsia" w:hAnsi="宋体" w:cs="宋体"/>
          <w:bCs/>
          <w:u w:val="single"/>
        </w:rPr>
        <w:t xml:space="preserve"> </w:t>
      </w:r>
      <w:r>
        <w:rPr>
          <w:rFonts w:hAnsi="宋体" w:cs="宋体"/>
          <w:bCs/>
          <w:u w:val="single"/>
        </w:rPr>
        <w:t xml:space="preserve">  </w:t>
      </w:r>
      <w:r>
        <w:rPr>
          <w:rFonts w:hint="eastAsia" w:hAnsi="宋体" w:cs="宋体"/>
          <w:bCs/>
          <w:u w:val="single"/>
        </w:rPr>
        <w:t xml:space="preserve"> </w:t>
      </w:r>
      <w:r>
        <w:rPr>
          <w:rFonts w:hint="eastAsia" w:hAnsi="宋体" w:cs="宋体"/>
          <w:bCs/>
        </w:rPr>
        <w:t>份；电子文档</w:t>
      </w:r>
      <w:r>
        <w:rPr>
          <w:rFonts w:hAnsi="宋体" w:cs="宋体"/>
          <w:bCs/>
          <w:u w:val="single"/>
        </w:rPr>
        <w:t xml:space="preserve">     </w:t>
      </w:r>
      <w:r>
        <w:rPr>
          <w:rFonts w:hint="eastAsia" w:hAnsi="宋体" w:cs="宋体"/>
          <w:bCs/>
        </w:rPr>
        <w:t>份。</w:t>
      </w:r>
    </w:p>
    <w:p w14:paraId="151DD655">
      <w:pPr>
        <w:spacing w:line="360" w:lineRule="auto"/>
        <w:ind w:firstLine="480" w:firstLineChars="200"/>
        <w:rPr>
          <w:rFonts w:hAnsi="宋体" w:cs="宋体"/>
          <w:bCs/>
        </w:rPr>
      </w:pPr>
      <w:r>
        <w:rPr>
          <w:rFonts w:hint="eastAsia" w:hAnsi="宋体" w:cs="宋体"/>
          <w:bCs/>
        </w:rPr>
        <w:t>5、我方愿意提供贵公司可能另外要求的，与投标有关的文件资料，并保证我方已提供和将要提供的文件资料是真实、准确的。</w:t>
      </w:r>
    </w:p>
    <w:p w14:paraId="23D1B8B3">
      <w:pPr>
        <w:adjustRightInd w:val="0"/>
        <w:spacing w:line="360" w:lineRule="auto"/>
        <w:ind w:firstLine="480" w:firstLineChars="200"/>
        <w:rPr>
          <w:rFonts w:hAnsi="宋体" w:cs="宋体"/>
          <w:bCs/>
        </w:rPr>
      </w:pPr>
      <w:r>
        <w:rPr>
          <w:rFonts w:hint="eastAsia" w:hAnsi="宋体" w:cs="宋体"/>
          <w:bCs/>
        </w:rPr>
        <w:t>6、我方同意本次采购活动的磋商有效期为磋商后</w:t>
      </w:r>
      <w:r>
        <w:rPr>
          <w:rFonts w:hint="eastAsia" w:hAnsi="宋体" w:cs="宋体"/>
          <w:bCs/>
          <w:u w:val="single"/>
        </w:rPr>
        <w:t>90</w:t>
      </w:r>
      <w:r>
        <w:rPr>
          <w:rFonts w:hint="eastAsia" w:hAnsi="宋体" w:cs="宋体"/>
          <w:bCs/>
        </w:rPr>
        <w:t>天。特殊情况下，采购人可于磋商有效期满之前书面要求我方同意延长有效期。我方如拒绝延长磋商有效期，将不得再参与该项目后续采购活动。如同意延长磋商有效期，我方不能修改响应文件。</w:t>
      </w:r>
    </w:p>
    <w:p w14:paraId="0A5B9A7B">
      <w:pPr>
        <w:adjustRightInd w:val="0"/>
        <w:spacing w:line="360" w:lineRule="auto"/>
        <w:ind w:firstLine="480" w:firstLineChars="200"/>
        <w:rPr>
          <w:rFonts w:hAnsi="宋体" w:cs="宋体"/>
          <w:bCs/>
        </w:rPr>
      </w:pPr>
      <w:r>
        <w:rPr>
          <w:rFonts w:hint="eastAsia" w:hAnsi="宋体" w:cs="宋体"/>
          <w:bCs/>
        </w:rPr>
        <w:t>7、我方完全理解采购人不一定将合同授予最低报价的供应商的行为。</w:t>
      </w:r>
    </w:p>
    <w:p w14:paraId="30C51111">
      <w:pPr>
        <w:spacing w:line="360" w:lineRule="auto"/>
        <w:ind w:firstLine="480" w:firstLineChars="200"/>
        <w:rPr>
          <w:rFonts w:hAnsi="宋体" w:cs="华文细黑"/>
        </w:rPr>
      </w:pPr>
    </w:p>
    <w:p w14:paraId="017EAF4A">
      <w:pPr>
        <w:spacing w:line="360" w:lineRule="auto"/>
        <w:ind w:firstLine="480" w:firstLineChars="200"/>
        <w:rPr>
          <w:rFonts w:hAnsi="宋体" w:cs="华文细黑"/>
        </w:rPr>
      </w:pPr>
      <w:r>
        <w:rPr>
          <w:rFonts w:hint="eastAsia" w:hAnsi="宋体" w:cs="华文细黑"/>
        </w:rPr>
        <w:t>供应商名称：   （单位公章）</w:t>
      </w:r>
    </w:p>
    <w:p w14:paraId="0FB0B02F">
      <w:pPr>
        <w:spacing w:line="360" w:lineRule="auto"/>
        <w:ind w:firstLine="480" w:firstLineChars="200"/>
        <w:rPr>
          <w:rFonts w:hAnsi="宋体" w:cs="华文细黑"/>
        </w:rPr>
      </w:pPr>
      <w:r>
        <w:rPr>
          <w:rFonts w:hint="eastAsia" w:hAnsi="宋体" w:cs="华文细黑"/>
        </w:rPr>
        <w:t xml:space="preserve">法定代表人或授权代表（签字或加盖个人名章）： </w:t>
      </w:r>
    </w:p>
    <w:p w14:paraId="20C1E789">
      <w:pPr>
        <w:spacing w:line="360" w:lineRule="auto"/>
        <w:ind w:firstLine="480" w:firstLineChars="200"/>
        <w:rPr>
          <w:rFonts w:hAnsi="宋体" w:cs="宋体"/>
          <w:bCs/>
        </w:rPr>
      </w:pPr>
      <w:r>
        <w:rPr>
          <w:rFonts w:hint="eastAsia" w:hAnsi="宋体" w:cs="宋体"/>
          <w:bCs/>
        </w:rPr>
        <w:t>通讯地址：</w:t>
      </w:r>
    </w:p>
    <w:p w14:paraId="66FEE7FD">
      <w:pPr>
        <w:spacing w:line="360" w:lineRule="auto"/>
        <w:ind w:firstLine="480" w:firstLineChars="200"/>
        <w:rPr>
          <w:rFonts w:hAnsi="宋体" w:cs="宋体"/>
          <w:bCs/>
        </w:rPr>
      </w:pPr>
      <w:r>
        <w:rPr>
          <w:rFonts w:hint="eastAsia" w:hAnsi="宋体" w:cs="宋体"/>
          <w:bCs/>
        </w:rPr>
        <w:t>邮政编码：</w:t>
      </w:r>
    </w:p>
    <w:p w14:paraId="4171E426">
      <w:pPr>
        <w:spacing w:line="360" w:lineRule="auto"/>
        <w:ind w:firstLine="480" w:firstLineChars="200"/>
        <w:rPr>
          <w:rFonts w:hAnsi="宋体" w:cs="宋体"/>
          <w:bCs/>
        </w:rPr>
      </w:pPr>
      <w:r>
        <w:rPr>
          <w:rFonts w:hint="eastAsia" w:hAnsi="宋体" w:cs="宋体"/>
          <w:bCs/>
        </w:rPr>
        <w:t>联系电话：</w:t>
      </w:r>
    </w:p>
    <w:p w14:paraId="7FD6BEAB">
      <w:pPr>
        <w:spacing w:line="360" w:lineRule="auto"/>
        <w:ind w:firstLine="480" w:firstLineChars="200"/>
        <w:rPr>
          <w:rFonts w:hAnsi="宋体" w:cs="宋体"/>
          <w:bCs/>
        </w:rPr>
      </w:pPr>
      <w:r>
        <w:rPr>
          <w:rFonts w:hint="eastAsia" w:hAnsi="宋体" w:cs="宋体"/>
          <w:bCs/>
        </w:rPr>
        <w:t>传    真：</w:t>
      </w:r>
    </w:p>
    <w:p w14:paraId="348268F6">
      <w:pPr>
        <w:spacing w:line="360" w:lineRule="auto"/>
        <w:ind w:firstLine="480" w:firstLineChars="200"/>
        <w:rPr>
          <w:rFonts w:hAnsi="宋体" w:cs="宋体"/>
          <w:b/>
          <w:sz w:val="32"/>
          <w:szCs w:val="32"/>
        </w:rPr>
      </w:pPr>
      <w:r>
        <w:rPr>
          <w:rFonts w:hint="eastAsia" w:hAnsi="宋体" w:cs="宋体"/>
          <w:bCs/>
        </w:rPr>
        <w:t>日    期：    年     月    日</w:t>
      </w:r>
    </w:p>
    <w:p w14:paraId="01C6FB0E">
      <w:pPr>
        <w:spacing w:line="360" w:lineRule="auto"/>
        <w:rPr>
          <w:rFonts w:hAnsi="宋体" w:cs="宋体"/>
          <w:b/>
        </w:rPr>
      </w:pPr>
    </w:p>
    <w:p w14:paraId="6C13E944">
      <w:pPr>
        <w:spacing w:line="360" w:lineRule="auto"/>
        <w:rPr>
          <w:rFonts w:hAnsi="宋体" w:cs="宋体"/>
        </w:rPr>
      </w:pPr>
    </w:p>
    <w:p w14:paraId="703EEAE9">
      <w:pPr>
        <w:spacing w:line="360" w:lineRule="auto"/>
        <w:rPr>
          <w:rFonts w:hAnsi="宋体" w:cs="宋体"/>
        </w:rPr>
      </w:pPr>
    </w:p>
    <w:p w14:paraId="4F799E99">
      <w:pPr>
        <w:spacing w:line="360" w:lineRule="auto"/>
        <w:rPr>
          <w:rFonts w:hAnsi="宋体" w:cs="宋体"/>
        </w:rPr>
      </w:pPr>
    </w:p>
    <w:p w14:paraId="1B887BD0">
      <w:pPr>
        <w:pStyle w:val="3"/>
        <w:spacing w:line="360" w:lineRule="auto"/>
        <w:rPr>
          <w:rFonts w:hAnsi="宋体" w:cs="宋体"/>
          <w:b w:val="0"/>
          <w:bCs w:val="0"/>
          <w:szCs w:val="24"/>
        </w:rPr>
      </w:pPr>
      <w:r>
        <w:rPr>
          <w:rFonts w:hint="eastAsia" w:ascii="宋体" w:hAnsi="宋体" w:cs="宋体"/>
          <w:bCs w:val="0"/>
          <w:kern w:val="2"/>
          <w:sz w:val="30"/>
          <w:szCs w:val="30"/>
        </w:rPr>
        <w:br w:type="page"/>
      </w:r>
    </w:p>
    <w:bookmarkEnd w:id="367"/>
    <w:p w14:paraId="4D597601">
      <w:pPr>
        <w:pStyle w:val="4"/>
        <w:spacing w:before="0" w:after="0" w:line="360" w:lineRule="auto"/>
        <w:jc w:val="center"/>
        <w:rPr>
          <w:rFonts w:hAnsi="宋体"/>
          <w:bCs w:val="0"/>
          <w:szCs w:val="22"/>
        </w:rPr>
      </w:pPr>
      <w:bookmarkStart w:id="444" w:name="_Toc138168017"/>
      <w:bookmarkStart w:id="445" w:name="_Toc21978"/>
      <w:bookmarkStart w:id="446" w:name="_Toc170477126"/>
      <w:bookmarkStart w:id="447" w:name="_Toc217446088"/>
      <w:bookmarkStart w:id="448" w:name="_Toc7413"/>
      <w:bookmarkStart w:id="449" w:name="_Toc20963"/>
      <w:bookmarkStart w:id="450" w:name="_Toc400696597"/>
      <w:bookmarkStart w:id="451" w:name="_Toc6209"/>
      <w:r>
        <w:rPr>
          <w:rFonts w:hint="eastAsia" w:hAnsi="宋体"/>
          <w:bCs w:val="0"/>
          <w:szCs w:val="22"/>
        </w:rPr>
        <w:t>二、首次报价表</w:t>
      </w:r>
      <w:bookmarkEnd w:id="444"/>
      <w:bookmarkEnd w:id="445"/>
      <w:bookmarkEnd w:id="446"/>
    </w:p>
    <w:p w14:paraId="5BEA3EE7">
      <w:pPr>
        <w:spacing w:line="360" w:lineRule="auto"/>
        <w:rPr>
          <w:rFonts w:hAnsi="宋体" w:cs="宋体"/>
        </w:rPr>
      </w:pPr>
      <w:r>
        <w:rPr>
          <w:rFonts w:hint="eastAsia" w:hAnsi="宋体" w:cs="宋体"/>
        </w:rPr>
        <w:t xml:space="preserve">采购项目名称：                                       </w:t>
      </w:r>
    </w:p>
    <w:p w14:paraId="55374657">
      <w:pPr>
        <w:spacing w:line="360" w:lineRule="auto"/>
        <w:rPr>
          <w:rFonts w:hAnsi="宋体" w:cs="宋体"/>
        </w:rPr>
      </w:pPr>
      <w:r>
        <w:rPr>
          <w:rFonts w:hint="eastAsia" w:hAnsi="宋体" w:cs="宋体"/>
        </w:rPr>
        <w:t xml:space="preserve">采购文件编号：                                            </w:t>
      </w:r>
    </w:p>
    <w:tbl>
      <w:tblPr>
        <w:tblStyle w:val="24"/>
        <w:tblW w:w="94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4598"/>
        <w:gridCol w:w="2849"/>
        <w:gridCol w:w="1134"/>
      </w:tblGrid>
      <w:tr w14:paraId="65B7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19" w:type="dxa"/>
            <w:tcBorders>
              <w:top w:val="single" w:color="auto" w:sz="4" w:space="0"/>
              <w:left w:val="single" w:color="auto" w:sz="4" w:space="0"/>
              <w:bottom w:val="single" w:color="auto" w:sz="4" w:space="0"/>
              <w:right w:val="single" w:color="auto" w:sz="4" w:space="0"/>
            </w:tcBorders>
            <w:vAlign w:val="center"/>
          </w:tcPr>
          <w:p w14:paraId="7D8FC549">
            <w:pPr>
              <w:spacing w:line="360" w:lineRule="auto"/>
              <w:rPr>
                <w:rFonts w:hAnsi="宋体" w:cs="宋体"/>
              </w:rPr>
            </w:pPr>
            <w:r>
              <w:rPr>
                <w:rFonts w:hint="eastAsia" w:hAnsi="宋体" w:cs="宋体"/>
              </w:rPr>
              <w:t>序号</w:t>
            </w:r>
          </w:p>
        </w:tc>
        <w:tc>
          <w:tcPr>
            <w:tcW w:w="4598" w:type="dxa"/>
            <w:tcBorders>
              <w:top w:val="single" w:color="auto" w:sz="4" w:space="0"/>
              <w:left w:val="single" w:color="auto" w:sz="4" w:space="0"/>
              <w:bottom w:val="single" w:color="auto" w:sz="4" w:space="0"/>
              <w:right w:val="single" w:color="auto" w:sz="4" w:space="0"/>
            </w:tcBorders>
            <w:vAlign w:val="center"/>
          </w:tcPr>
          <w:p w14:paraId="2B57A267">
            <w:pPr>
              <w:spacing w:line="360" w:lineRule="auto"/>
              <w:jc w:val="center"/>
              <w:rPr>
                <w:rFonts w:hAnsi="宋体" w:cs="宋体"/>
              </w:rPr>
            </w:pPr>
            <w:r>
              <w:rPr>
                <w:rFonts w:hint="eastAsia" w:hAnsi="宋体" w:cs="宋体"/>
              </w:rPr>
              <w:t>服务内容/产品名称(如涉及)</w:t>
            </w:r>
          </w:p>
        </w:tc>
        <w:tc>
          <w:tcPr>
            <w:tcW w:w="2849" w:type="dxa"/>
            <w:tcBorders>
              <w:top w:val="single" w:color="auto" w:sz="4" w:space="0"/>
              <w:left w:val="single" w:color="auto" w:sz="4" w:space="0"/>
              <w:bottom w:val="single" w:color="auto" w:sz="4" w:space="0"/>
              <w:right w:val="single" w:color="auto" w:sz="4" w:space="0"/>
            </w:tcBorders>
            <w:vAlign w:val="center"/>
          </w:tcPr>
          <w:p w14:paraId="1FEAC01B">
            <w:pPr>
              <w:spacing w:line="360" w:lineRule="auto"/>
              <w:jc w:val="center"/>
              <w:rPr>
                <w:rFonts w:hAnsi="宋体" w:cs="宋体"/>
              </w:rPr>
            </w:pPr>
            <w:r>
              <w:rPr>
                <w:rFonts w:hint="eastAsia" w:hAnsi="宋体" w:cs="宋体"/>
              </w:rPr>
              <w:t>报价（元）</w:t>
            </w:r>
          </w:p>
        </w:tc>
        <w:tc>
          <w:tcPr>
            <w:tcW w:w="1134" w:type="dxa"/>
            <w:tcBorders>
              <w:top w:val="single" w:color="auto" w:sz="4" w:space="0"/>
              <w:left w:val="single" w:color="auto" w:sz="4" w:space="0"/>
              <w:bottom w:val="single" w:color="auto" w:sz="4" w:space="0"/>
              <w:right w:val="single" w:color="auto" w:sz="4" w:space="0"/>
            </w:tcBorders>
            <w:vAlign w:val="center"/>
          </w:tcPr>
          <w:p w14:paraId="152FC5F3">
            <w:pPr>
              <w:spacing w:line="360" w:lineRule="auto"/>
              <w:jc w:val="center"/>
              <w:rPr>
                <w:rFonts w:hAnsi="宋体" w:cs="宋体"/>
              </w:rPr>
            </w:pPr>
            <w:r>
              <w:rPr>
                <w:rFonts w:hint="eastAsia" w:hAnsi="宋体" w:cs="宋体"/>
              </w:rPr>
              <w:t>备注</w:t>
            </w:r>
          </w:p>
        </w:tc>
      </w:tr>
      <w:tr w14:paraId="327F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9" w:type="dxa"/>
            <w:tcBorders>
              <w:top w:val="single" w:color="auto" w:sz="4" w:space="0"/>
              <w:left w:val="single" w:color="auto" w:sz="4" w:space="0"/>
              <w:bottom w:val="single" w:color="auto" w:sz="4" w:space="0"/>
              <w:right w:val="single" w:color="auto" w:sz="4" w:space="0"/>
            </w:tcBorders>
            <w:vAlign w:val="center"/>
          </w:tcPr>
          <w:p w14:paraId="66E41A66">
            <w:pPr>
              <w:spacing w:line="360" w:lineRule="auto"/>
              <w:rPr>
                <w:rFonts w:hAnsi="宋体" w:cs="宋体"/>
              </w:rPr>
            </w:pPr>
            <w:r>
              <w:rPr>
                <w:rFonts w:hint="eastAsia" w:hAnsi="宋体" w:cs="宋体"/>
              </w:rPr>
              <w:t>1</w:t>
            </w:r>
          </w:p>
        </w:tc>
        <w:tc>
          <w:tcPr>
            <w:tcW w:w="4598" w:type="dxa"/>
            <w:tcBorders>
              <w:top w:val="single" w:color="auto" w:sz="4" w:space="0"/>
              <w:left w:val="single" w:color="auto" w:sz="4" w:space="0"/>
              <w:bottom w:val="single" w:color="auto" w:sz="4" w:space="0"/>
              <w:right w:val="single" w:color="auto" w:sz="4" w:space="0"/>
            </w:tcBorders>
            <w:vAlign w:val="center"/>
          </w:tcPr>
          <w:p w14:paraId="5307D19C">
            <w:pPr>
              <w:spacing w:line="360" w:lineRule="auto"/>
              <w:jc w:val="center"/>
              <w:rPr>
                <w:rFonts w:hAnsi="宋体" w:cs="宋体"/>
              </w:rPr>
            </w:pPr>
            <w:r>
              <w:rPr>
                <w:rFonts w:hint="eastAsia" w:hAnsi="宋体" w:cs="宋体"/>
              </w:rPr>
              <w:t xml:space="preserve"> </w:t>
            </w:r>
          </w:p>
        </w:tc>
        <w:tc>
          <w:tcPr>
            <w:tcW w:w="2849" w:type="dxa"/>
            <w:tcBorders>
              <w:top w:val="single" w:color="auto" w:sz="4" w:space="0"/>
              <w:left w:val="single" w:color="auto" w:sz="4" w:space="0"/>
              <w:bottom w:val="single" w:color="auto" w:sz="4" w:space="0"/>
              <w:right w:val="single" w:color="auto" w:sz="4" w:space="0"/>
            </w:tcBorders>
            <w:vAlign w:val="center"/>
          </w:tcPr>
          <w:p w14:paraId="6112DE9E">
            <w:pPr>
              <w:spacing w:line="360" w:lineRule="auto"/>
              <w:jc w:val="center"/>
              <w:rPr>
                <w:rFonts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1640BD5D">
            <w:pPr>
              <w:spacing w:line="360" w:lineRule="auto"/>
              <w:jc w:val="center"/>
              <w:rPr>
                <w:rFonts w:hAnsi="宋体" w:cs="宋体"/>
              </w:rPr>
            </w:pPr>
          </w:p>
        </w:tc>
      </w:tr>
      <w:tr w14:paraId="061B2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9400" w:type="dxa"/>
            <w:gridSpan w:val="4"/>
            <w:tcBorders>
              <w:top w:val="single" w:color="auto" w:sz="4" w:space="0"/>
              <w:left w:val="single" w:color="auto" w:sz="4" w:space="0"/>
              <w:bottom w:val="single" w:color="auto" w:sz="4" w:space="0"/>
              <w:right w:val="single" w:color="auto" w:sz="4" w:space="0"/>
            </w:tcBorders>
            <w:vAlign w:val="center"/>
          </w:tcPr>
          <w:p w14:paraId="696E2C6E">
            <w:pPr>
              <w:spacing w:line="360" w:lineRule="auto"/>
              <w:ind w:firstLine="480" w:firstLineChars="200"/>
              <w:rPr>
                <w:rFonts w:hAnsi="宋体" w:cs="宋体"/>
              </w:rPr>
            </w:pPr>
            <w:r>
              <w:rPr>
                <w:rFonts w:hint="eastAsia" w:hAnsi="宋体" w:cs="宋体"/>
              </w:rPr>
              <w:t xml:space="preserve">大写：                           </w:t>
            </w:r>
          </w:p>
        </w:tc>
      </w:tr>
    </w:tbl>
    <w:p w14:paraId="53F7B12F">
      <w:pPr>
        <w:spacing w:line="360" w:lineRule="auto"/>
        <w:rPr>
          <w:rFonts w:hAnsi="宋体" w:cs="宋体"/>
        </w:rPr>
      </w:pPr>
    </w:p>
    <w:p w14:paraId="36599BBA">
      <w:pPr>
        <w:spacing w:line="360" w:lineRule="auto"/>
        <w:ind w:firstLine="480"/>
        <w:rPr>
          <w:rFonts w:hAnsi="宋体" w:cs="宋体"/>
        </w:rPr>
      </w:pPr>
      <w:r>
        <w:rPr>
          <w:rFonts w:hint="eastAsia" w:hAnsi="宋体" w:cs="宋体"/>
        </w:rPr>
        <w:t>注：首次报价表中“报价”应与“磋商函”中“磋商报价”一致。</w:t>
      </w:r>
    </w:p>
    <w:p w14:paraId="4F450835">
      <w:pPr>
        <w:spacing w:line="360" w:lineRule="auto"/>
        <w:ind w:firstLine="960" w:firstLineChars="400"/>
        <w:rPr>
          <w:rFonts w:hAnsi="宋体" w:cs="宋体"/>
        </w:rPr>
      </w:pPr>
    </w:p>
    <w:p w14:paraId="213ADE09">
      <w:pPr>
        <w:spacing w:line="360" w:lineRule="auto"/>
        <w:rPr>
          <w:rFonts w:hAnsi="宋体" w:cs="宋体"/>
        </w:rPr>
      </w:pPr>
    </w:p>
    <w:p w14:paraId="53526F18">
      <w:pPr>
        <w:spacing w:line="360" w:lineRule="auto"/>
        <w:rPr>
          <w:rFonts w:hAnsi="宋体" w:cs="宋体"/>
        </w:rPr>
      </w:pPr>
    </w:p>
    <w:p w14:paraId="6FAFE1D6">
      <w:pPr>
        <w:spacing w:line="360" w:lineRule="auto"/>
        <w:ind w:firstLine="480"/>
        <w:rPr>
          <w:rFonts w:hAnsi="宋体" w:cs="宋体"/>
        </w:rPr>
      </w:pPr>
    </w:p>
    <w:p w14:paraId="69499448">
      <w:pPr>
        <w:spacing w:line="360" w:lineRule="auto"/>
        <w:ind w:firstLine="480" w:firstLineChars="200"/>
        <w:rPr>
          <w:rFonts w:hAnsi="宋体"/>
        </w:rPr>
      </w:pPr>
      <w:r>
        <w:rPr>
          <w:rFonts w:hint="eastAsia" w:hAnsi="宋体"/>
        </w:rPr>
        <w:t>供应商名称：                      （单位公章）</w:t>
      </w:r>
    </w:p>
    <w:p w14:paraId="4A493A35">
      <w:pPr>
        <w:spacing w:line="360" w:lineRule="auto"/>
        <w:ind w:firstLine="480" w:firstLineChars="200"/>
        <w:rPr>
          <w:rFonts w:hAnsi="宋体"/>
        </w:rPr>
      </w:pPr>
      <w:r>
        <w:rPr>
          <w:rFonts w:hint="eastAsia" w:hAnsi="宋体"/>
        </w:rPr>
        <w:t>法定代表人或授权代表（签字或加盖个人名章）：</w:t>
      </w:r>
    </w:p>
    <w:p w14:paraId="31B0FCD8">
      <w:pPr>
        <w:spacing w:line="360" w:lineRule="auto"/>
        <w:ind w:firstLine="480" w:firstLineChars="200"/>
        <w:rPr>
          <w:rFonts w:hAnsi="宋体"/>
        </w:rPr>
      </w:pPr>
      <w:r>
        <w:rPr>
          <w:rFonts w:hint="eastAsia" w:hAnsi="宋体"/>
        </w:rPr>
        <w:t>日期：</w:t>
      </w:r>
    </w:p>
    <w:p w14:paraId="5DD13650">
      <w:pPr>
        <w:pStyle w:val="8"/>
        <w:spacing w:line="360" w:lineRule="auto"/>
        <w:rPr>
          <w:rFonts w:ascii="宋体" w:hAnsi="宋体" w:eastAsia="宋体" w:cs="宋体"/>
          <w:sz w:val="24"/>
        </w:rPr>
      </w:pPr>
    </w:p>
    <w:p w14:paraId="602D999C">
      <w:pPr>
        <w:spacing w:line="360" w:lineRule="auto"/>
        <w:rPr>
          <w:rFonts w:hAnsi="宋体" w:cs="宋体"/>
          <w:b/>
          <w:bCs/>
          <w:szCs w:val="24"/>
        </w:rPr>
      </w:pPr>
      <w:r>
        <w:rPr>
          <w:rFonts w:hint="eastAsia" w:hAnsi="宋体" w:cs="宋体"/>
          <w:b/>
          <w:bCs/>
          <w:szCs w:val="24"/>
        </w:rPr>
        <w:br w:type="page"/>
      </w:r>
    </w:p>
    <w:p w14:paraId="5FD377D6">
      <w:pPr>
        <w:spacing w:line="360" w:lineRule="auto"/>
        <w:jc w:val="center"/>
        <w:rPr>
          <w:rFonts w:hAnsi="宋体" w:cs="宋体"/>
          <w:b/>
          <w:sz w:val="32"/>
          <w:szCs w:val="32"/>
        </w:rPr>
      </w:pPr>
      <w:r>
        <w:rPr>
          <w:rFonts w:hint="eastAsia" w:hAnsi="宋体" w:cs="宋体"/>
          <w:b/>
          <w:sz w:val="32"/>
          <w:szCs w:val="32"/>
        </w:rPr>
        <w:t>二次报价表</w:t>
      </w:r>
    </w:p>
    <w:p w14:paraId="66FA267C">
      <w:pPr>
        <w:spacing w:line="360" w:lineRule="auto"/>
        <w:rPr>
          <w:rFonts w:hAnsi="宋体" w:cs="宋体"/>
        </w:rPr>
      </w:pPr>
      <w:r>
        <w:rPr>
          <w:rFonts w:hint="eastAsia" w:hAnsi="宋体" w:cs="宋体"/>
        </w:rPr>
        <w:t xml:space="preserve">采购项目名称：                                       </w:t>
      </w:r>
    </w:p>
    <w:p w14:paraId="109C0C80">
      <w:pPr>
        <w:spacing w:line="360" w:lineRule="auto"/>
        <w:rPr>
          <w:rFonts w:hAnsi="宋体" w:cs="宋体"/>
        </w:rPr>
      </w:pPr>
      <w:r>
        <w:rPr>
          <w:rFonts w:hint="eastAsia" w:hAnsi="宋体" w:cs="宋体"/>
        </w:rPr>
        <w:t xml:space="preserve">采购文件编号：                                            </w:t>
      </w:r>
    </w:p>
    <w:tbl>
      <w:tblPr>
        <w:tblStyle w:val="24"/>
        <w:tblW w:w="94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4598"/>
        <w:gridCol w:w="2849"/>
        <w:gridCol w:w="1134"/>
      </w:tblGrid>
      <w:tr w14:paraId="3A9B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19" w:type="dxa"/>
            <w:tcBorders>
              <w:top w:val="single" w:color="auto" w:sz="4" w:space="0"/>
              <w:left w:val="single" w:color="auto" w:sz="4" w:space="0"/>
              <w:bottom w:val="single" w:color="auto" w:sz="4" w:space="0"/>
              <w:right w:val="single" w:color="auto" w:sz="4" w:space="0"/>
            </w:tcBorders>
            <w:vAlign w:val="center"/>
          </w:tcPr>
          <w:p w14:paraId="4D979000">
            <w:pPr>
              <w:spacing w:line="360" w:lineRule="auto"/>
              <w:rPr>
                <w:rFonts w:hAnsi="宋体" w:cs="宋体"/>
              </w:rPr>
            </w:pPr>
            <w:r>
              <w:rPr>
                <w:rFonts w:hint="eastAsia" w:hAnsi="宋体" w:cs="宋体"/>
              </w:rPr>
              <w:t>序号</w:t>
            </w:r>
          </w:p>
        </w:tc>
        <w:tc>
          <w:tcPr>
            <w:tcW w:w="4598" w:type="dxa"/>
            <w:tcBorders>
              <w:top w:val="single" w:color="auto" w:sz="4" w:space="0"/>
              <w:left w:val="single" w:color="auto" w:sz="4" w:space="0"/>
              <w:bottom w:val="single" w:color="auto" w:sz="4" w:space="0"/>
              <w:right w:val="single" w:color="auto" w:sz="4" w:space="0"/>
            </w:tcBorders>
            <w:vAlign w:val="center"/>
          </w:tcPr>
          <w:p w14:paraId="332804C9">
            <w:pPr>
              <w:spacing w:line="360" w:lineRule="auto"/>
              <w:jc w:val="center"/>
              <w:rPr>
                <w:rFonts w:hAnsi="宋体" w:cs="宋体"/>
              </w:rPr>
            </w:pPr>
            <w:r>
              <w:rPr>
                <w:rFonts w:hint="eastAsia" w:hAnsi="宋体" w:cs="宋体"/>
              </w:rPr>
              <w:t>服务内容/产品名称(如涉及)</w:t>
            </w:r>
          </w:p>
        </w:tc>
        <w:tc>
          <w:tcPr>
            <w:tcW w:w="2849" w:type="dxa"/>
            <w:tcBorders>
              <w:top w:val="single" w:color="auto" w:sz="4" w:space="0"/>
              <w:left w:val="single" w:color="auto" w:sz="4" w:space="0"/>
              <w:bottom w:val="single" w:color="auto" w:sz="4" w:space="0"/>
              <w:right w:val="single" w:color="auto" w:sz="4" w:space="0"/>
            </w:tcBorders>
            <w:vAlign w:val="center"/>
          </w:tcPr>
          <w:p w14:paraId="002CA007">
            <w:pPr>
              <w:spacing w:line="360" w:lineRule="auto"/>
              <w:jc w:val="center"/>
              <w:rPr>
                <w:rFonts w:hAnsi="宋体" w:cs="宋体"/>
              </w:rPr>
            </w:pPr>
            <w:r>
              <w:rPr>
                <w:rFonts w:hint="eastAsia" w:hAnsi="宋体" w:cs="宋体"/>
              </w:rPr>
              <w:t>报价（元）</w:t>
            </w:r>
          </w:p>
        </w:tc>
        <w:tc>
          <w:tcPr>
            <w:tcW w:w="1134" w:type="dxa"/>
            <w:tcBorders>
              <w:top w:val="single" w:color="auto" w:sz="4" w:space="0"/>
              <w:left w:val="single" w:color="auto" w:sz="4" w:space="0"/>
              <w:bottom w:val="single" w:color="auto" w:sz="4" w:space="0"/>
              <w:right w:val="single" w:color="auto" w:sz="4" w:space="0"/>
            </w:tcBorders>
            <w:vAlign w:val="center"/>
          </w:tcPr>
          <w:p w14:paraId="7E99F8C8">
            <w:pPr>
              <w:spacing w:line="360" w:lineRule="auto"/>
              <w:jc w:val="center"/>
              <w:rPr>
                <w:rFonts w:hAnsi="宋体" w:cs="宋体"/>
              </w:rPr>
            </w:pPr>
            <w:r>
              <w:rPr>
                <w:rFonts w:hint="eastAsia" w:hAnsi="宋体" w:cs="宋体"/>
              </w:rPr>
              <w:t>备注</w:t>
            </w:r>
          </w:p>
        </w:tc>
      </w:tr>
      <w:tr w14:paraId="3271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9" w:type="dxa"/>
            <w:tcBorders>
              <w:top w:val="single" w:color="auto" w:sz="4" w:space="0"/>
              <w:left w:val="single" w:color="auto" w:sz="4" w:space="0"/>
              <w:bottom w:val="single" w:color="auto" w:sz="4" w:space="0"/>
              <w:right w:val="single" w:color="auto" w:sz="4" w:space="0"/>
            </w:tcBorders>
            <w:vAlign w:val="center"/>
          </w:tcPr>
          <w:p w14:paraId="4A1DC041">
            <w:pPr>
              <w:spacing w:line="360" w:lineRule="auto"/>
              <w:rPr>
                <w:rFonts w:hAnsi="宋体" w:cs="宋体"/>
              </w:rPr>
            </w:pPr>
            <w:r>
              <w:rPr>
                <w:rFonts w:hint="eastAsia" w:hAnsi="宋体" w:cs="宋体"/>
              </w:rPr>
              <w:t>1</w:t>
            </w:r>
          </w:p>
        </w:tc>
        <w:tc>
          <w:tcPr>
            <w:tcW w:w="4598" w:type="dxa"/>
            <w:tcBorders>
              <w:top w:val="single" w:color="auto" w:sz="4" w:space="0"/>
              <w:left w:val="single" w:color="auto" w:sz="4" w:space="0"/>
              <w:bottom w:val="single" w:color="auto" w:sz="4" w:space="0"/>
              <w:right w:val="single" w:color="auto" w:sz="4" w:space="0"/>
            </w:tcBorders>
            <w:vAlign w:val="center"/>
          </w:tcPr>
          <w:p w14:paraId="12B8B750">
            <w:pPr>
              <w:spacing w:line="360" w:lineRule="auto"/>
              <w:jc w:val="center"/>
              <w:rPr>
                <w:rFonts w:hAnsi="宋体" w:cs="宋体"/>
              </w:rPr>
            </w:pPr>
            <w:r>
              <w:rPr>
                <w:rFonts w:hint="eastAsia" w:hAnsi="宋体" w:cs="宋体"/>
              </w:rPr>
              <w:t xml:space="preserve"> </w:t>
            </w:r>
          </w:p>
        </w:tc>
        <w:tc>
          <w:tcPr>
            <w:tcW w:w="2849" w:type="dxa"/>
            <w:tcBorders>
              <w:top w:val="single" w:color="auto" w:sz="4" w:space="0"/>
              <w:left w:val="single" w:color="auto" w:sz="4" w:space="0"/>
              <w:bottom w:val="single" w:color="auto" w:sz="4" w:space="0"/>
              <w:right w:val="single" w:color="auto" w:sz="4" w:space="0"/>
            </w:tcBorders>
            <w:vAlign w:val="center"/>
          </w:tcPr>
          <w:p w14:paraId="52433C66">
            <w:pPr>
              <w:spacing w:line="360" w:lineRule="auto"/>
              <w:jc w:val="center"/>
              <w:rPr>
                <w:rFonts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437B0020">
            <w:pPr>
              <w:spacing w:line="360" w:lineRule="auto"/>
              <w:jc w:val="center"/>
              <w:rPr>
                <w:rFonts w:hAnsi="宋体" w:cs="宋体"/>
              </w:rPr>
            </w:pPr>
          </w:p>
        </w:tc>
      </w:tr>
      <w:tr w14:paraId="022C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9400" w:type="dxa"/>
            <w:gridSpan w:val="4"/>
            <w:tcBorders>
              <w:top w:val="single" w:color="auto" w:sz="4" w:space="0"/>
              <w:left w:val="single" w:color="auto" w:sz="4" w:space="0"/>
              <w:bottom w:val="single" w:color="auto" w:sz="4" w:space="0"/>
              <w:right w:val="single" w:color="auto" w:sz="4" w:space="0"/>
            </w:tcBorders>
            <w:vAlign w:val="center"/>
          </w:tcPr>
          <w:p w14:paraId="44FE3CD8">
            <w:pPr>
              <w:spacing w:line="360" w:lineRule="auto"/>
              <w:ind w:firstLine="480" w:firstLineChars="200"/>
              <w:rPr>
                <w:rFonts w:hAnsi="宋体" w:cs="宋体"/>
              </w:rPr>
            </w:pPr>
            <w:r>
              <w:rPr>
                <w:rFonts w:hint="eastAsia" w:hAnsi="宋体" w:cs="宋体"/>
              </w:rPr>
              <w:t xml:space="preserve">大写：                           </w:t>
            </w:r>
          </w:p>
        </w:tc>
      </w:tr>
      <w:tr w14:paraId="7AC2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9400" w:type="dxa"/>
            <w:gridSpan w:val="4"/>
            <w:tcBorders>
              <w:top w:val="single" w:color="auto" w:sz="4" w:space="0"/>
              <w:left w:val="single" w:color="auto" w:sz="4" w:space="0"/>
              <w:bottom w:val="single" w:color="auto" w:sz="4" w:space="0"/>
              <w:right w:val="single" w:color="auto" w:sz="4" w:space="0"/>
            </w:tcBorders>
            <w:vAlign w:val="center"/>
          </w:tcPr>
          <w:p w14:paraId="712CEDA3">
            <w:pPr>
              <w:spacing w:line="360" w:lineRule="auto"/>
              <w:ind w:firstLine="480" w:firstLineChars="200"/>
              <w:rPr>
                <w:rFonts w:hAnsi="宋体" w:cs="宋体"/>
              </w:rPr>
            </w:pPr>
          </w:p>
        </w:tc>
      </w:tr>
    </w:tbl>
    <w:p w14:paraId="0DE76E52">
      <w:pPr>
        <w:spacing w:line="360" w:lineRule="auto"/>
        <w:ind w:firstLine="480"/>
        <w:rPr>
          <w:rFonts w:hAnsi="宋体" w:cs="宋体"/>
        </w:rPr>
      </w:pPr>
    </w:p>
    <w:p w14:paraId="685CCB73">
      <w:pPr>
        <w:spacing w:line="360" w:lineRule="auto"/>
        <w:ind w:firstLine="480"/>
        <w:rPr>
          <w:rFonts w:hAnsi="宋体" w:cs="宋体"/>
          <w:b/>
          <w:bCs/>
        </w:rPr>
      </w:pPr>
      <w:r>
        <w:rPr>
          <w:rFonts w:hint="eastAsia" w:hAnsi="宋体" w:cs="宋体"/>
        </w:rPr>
        <w:t>注：1.此报价为总价，</w:t>
      </w:r>
      <w:r>
        <w:rPr>
          <w:rFonts w:hint="eastAsia" w:hAnsi="宋体" w:cs="宋体"/>
          <w:color w:val="0000FF"/>
        </w:rPr>
        <w:t>不得高于最高限价及首次投标报价</w:t>
      </w:r>
      <w:r>
        <w:rPr>
          <w:rFonts w:hint="eastAsia" w:hAnsi="宋体" w:cs="宋体"/>
        </w:rPr>
        <w:t>，此报价仅用于本项目综合评分中计算报价得分</w:t>
      </w:r>
      <w:r>
        <w:rPr>
          <w:rFonts w:hint="eastAsia" w:hAnsi="宋体" w:cs="宋体"/>
          <w:b/>
          <w:bCs/>
        </w:rPr>
        <w:t>。</w:t>
      </w:r>
    </w:p>
    <w:p w14:paraId="5E56C91C">
      <w:pPr>
        <w:spacing w:line="360" w:lineRule="auto"/>
        <w:ind w:firstLine="960" w:firstLineChars="400"/>
        <w:rPr>
          <w:rFonts w:hAnsi="宋体" w:cs="宋体"/>
        </w:rPr>
      </w:pPr>
    </w:p>
    <w:p w14:paraId="4D337951">
      <w:pPr>
        <w:spacing w:line="360" w:lineRule="auto"/>
        <w:rPr>
          <w:rFonts w:hAnsi="宋体" w:cs="宋体"/>
        </w:rPr>
      </w:pPr>
    </w:p>
    <w:p w14:paraId="32313BE7">
      <w:pPr>
        <w:spacing w:line="360" w:lineRule="auto"/>
        <w:rPr>
          <w:rFonts w:hAnsi="宋体" w:cs="宋体"/>
        </w:rPr>
      </w:pPr>
    </w:p>
    <w:p w14:paraId="7599A9BB">
      <w:pPr>
        <w:spacing w:line="360" w:lineRule="auto"/>
        <w:ind w:firstLine="480"/>
        <w:rPr>
          <w:rFonts w:hAnsi="宋体" w:cs="宋体"/>
        </w:rPr>
      </w:pPr>
    </w:p>
    <w:p w14:paraId="7758EE5B">
      <w:pPr>
        <w:spacing w:line="360" w:lineRule="auto"/>
        <w:ind w:firstLine="480" w:firstLineChars="200"/>
        <w:rPr>
          <w:rFonts w:hAnsi="宋体"/>
        </w:rPr>
      </w:pPr>
      <w:r>
        <w:rPr>
          <w:rFonts w:hint="eastAsia" w:hAnsi="宋体"/>
        </w:rPr>
        <w:t>供应商名称：                      （单位公章）</w:t>
      </w:r>
    </w:p>
    <w:p w14:paraId="770030FA">
      <w:pPr>
        <w:spacing w:line="360" w:lineRule="auto"/>
        <w:ind w:firstLine="480" w:firstLineChars="200"/>
        <w:rPr>
          <w:rFonts w:hAnsi="宋体"/>
        </w:rPr>
      </w:pPr>
      <w:r>
        <w:rPr>
          <w:rFonts w:hint="eastAsia" w:hAnsi="宋体"/>
        </w:rPr>
        <w:t>法定代表人或授权代表（签字或加盖个人名章）：</w:t>
      </w:r>
    </w:p>
    <w:p w14:paraId="1D9952C9">
      <w:pPr>
        <w:spacing w:line="360" w:lineRule="auto"/>
        <w:ind w:firstLine="480" w:firstLineChars="200"/>
        <w:rPr>
          <w:rFonts w:hAnsi="宋体"/>
        </w:rPr>
      </w:pPr>
      <w:r>
        <w:rPr>
          <w:rFonts w:hint="eastAsia" w:hAnsi="宋体"/>
        </w:rPr>
        <w:t>日期：</w:t>
      </w:r>
    </w:p>
    <w:p w14:paraId="271731B3">
      <w:pPr>
        <w:pStyle w:val="8"/>
        <w:spacing w:line="360" w:lineRule="auto"/>
        <w:rPr>
          <w:rFonts w:ascii="宋体" w:hAnsi="宋体" w:eastAsia="宋体" w:cs="宋体"/>
          <w:sz w:val="24"/>
        </w:rPr>
      </w:pPr>
    </w:p>
    <w:p w14:paraId="230E0754">
      <w:pPr>
        <w:spacing w:line="360" w:lineRule="auto"/>
        <w:rPr>
          <w:rFonts w:hAnsi="宋体" w:cs="宋体"/>
          <w:b/>
          <w:bCs/>
          <w:szCs w:val="24"/>
        </w:rPr>
      </w:pPr>
    </w:p>
    <w:p w14:paraId="351BDB66">
      <w:pPr>
        <w:spacing w:line="360" w:lineRule="auto"/>
        <w:rPr>
          <w:rFonts w:hAnsi="宋体" w:cs="宋体"/>
          <w:b/>
          <w:bCs/>
          <w:szCs w:val="24"/>
        </w:rPr>
      </w:pPr>
    </w:p>
    <w:p w14:paraId="201BDA5A">
      <w:pPr>
        <w:pStyle w:val="4"/>
        <w:spacing w:before="0" w:after="0" w:line="360" w:lineRule="auto"/>
        <w:jc w:val="center"/>
        <w:rPr>
          <w:rFonts w:hAnsi="宋体"/>
          <w:bCs w:val="0"/>
          <w:szCs w:val="22"/>
        </w:rPr>
      </w:pPr>
      <w:bookmarkStart w:id="452" w:name="_Toc15191"/>
    </w:p>
    <w:p w14:paraId="6457C6B3">
      <w:pPr>
        <w:pStyle w:val="4"/>
        <w:spacing w:before="0" w:after="0" w:line="360" w:lineRule="auto"/>
        <w:jc w:val="center"/>
        <w:rPr>
          <w:rFonts w:hAnsi="宋体"/>
          <w:bCs w:val="0"/>
          <w:szCs w:val="22"/>
        </w:rPr>
      </w:pPr>
      <w:r>
        <w:rPr>
          <w:rFonts w:hint="eastAsia" w:hAnsi="宋体"/>
          <w:bCs w:val="0"/>
          <w:szCs w:val="22"/>
        </w:rPr>
        <w:t>三、分项报价明细表</w:t>
      </w:r>
      <w:bookmarkEnd w:id="452"/>
    </w:p>
    <w:p w14:paraId="4DE7AEBC">
      <w:pPr>
        <w:spacing w:line="360" w:lineRule="auto"/>
        <w:rPr>
          <w:rFonts w:hAnsi="宋体"/>
        </w:rPr>
      </w:pPr>
      <w:r>
        <w:rPr>
          <w:rFonts w:hint="eastAsia" w:hAnsi="宋体"/>
        </w:rPr>
        <w:t>采购项目名称：</w:t>
      </w:r>
      <w:r>
        <w:rPr>
          <w:rFonts w:hint="eastAsia" w:hAnsi="宋体"/>
          <w:u w:val="single"/>
        </w:rPr>
        <w:t xml:space="preserve">                                      </w:t>
      </w:r>
      <w:r>
        <w:rPr>
          <w:rFonts w:hint="eastAsia" w:hAnsi="宋体"/>
        </w:rPr>
        <w:t xml:space="preserve"> </w:t>
      </w:r>
    </w:p>
    <w:p w14:paraId="38033C6E">
      <w:pPr>
        <w:spacing w:line="360" w:lineRule="auto"/>
        <w:rPr>
          <w:rFonts w:hAnsi="宋体"/>
        </w:rPr>
      </w:pPr>
      <w:r>
        <w:rPr>
          <w:rFonts w:hint="eastAsia" w:hAnsi="宋体"/>
        </w:rPr>
        <w:t>采购</w:t>
      </w:r>
      <w:r>
        <w:rPr>
          <w:rFonts w:hint="eastAsia" w:hAnsi="宋体" w:cs="宋体"/>
        </w:rPr>
        <w:t>文件编号：</w:t>
      </w:r>
      <w:r>
        <w:rPr>
          <w:rFonts w:hint="eastAsia" w:hAnsi="宋体" w:cs="宋体"/>
          <w:u w:val="single"/>
        </w:rPr>
        <w:t xml:space="preserve">     </w:t>
      </w:r>
      <w:r>
        <w:rPr>
          <w:rFonts w:hint="eastAsia" w:hAnsi="宋体"/>
          <w:u w:val="single"/>
        </w:rPr>
        <w:t xml:space="preserve">                                 </w:t>
      </w:r>
      <w:r>
        <w:rPr>
          <w:rFonts w:hint="eastAsia" w:hAnsi="宋体"/>
        </w:rPr>
        <w:t xml:space="preserve">   </w:t>
      </w:r>
    </w:p>
    <w:p w14:paraId="762232AF">
      <w:pPr>
        <w:adjustRightInd w:val="0"/>
        <w:spacing w:line="360" w:lineRule="auto"/>
        <w:ind w:firstLine="514" w:firstLineChars="200"/>
        <w:rPr>
          <w:rFonts w:hAnsi="宋体"/>
          <w:b/>
          <w:bCs/>
          <w:spacing w:val="8"/>
        </w:rPr>
      </w:pPr>
    </w:p>
    <w:p w14:paraId="1691181B">
      <w:pPr>
        <w:pStyle w:val="67"/>
        <w:spacing w:line="360" w:lineRule="auto"/>
        <w:rPr>
          <w:rFonts w:ascii="宋体" w:hAnsi="宋体"/>
          <w:b/>
          <w:bCs/>
          <w:spacing w:val="8"/>
          <w:sz w:val="36"/>
          <w:szCs w:val="32"/>
        </w:rPr>
      </w:pPr>
    </w:p>
    <w:p w14:paraId="34C781BF">
      <w:pPr>
        <w:pStyle w:val="67"/>
        <w:spacing w:line="360" w:lineRule="auto"/>
        <w:rPr>
          <w:rFonts w:ascii="宋体" w:hAnsi="宋体"/>
          <w:b/>
          <w:bCs/>
          <w:spacing w:val="8"/>
          <w:sz w:val="36"/>
          <w:szCs w:val="32"/>
        </w:rPr>
      </w:pPr>
    </w:p>
    <w:p w14:paraId="2EA045E3">
      <w:pPr>
        <w:pStyle w:val="67"/>
        <w:spacing w:line="360" w:lineRule="auto"/>
        <w:ind w:left="0" w:firstLine="2264" w:firstLineChars="600"/>
        <w:rPr>
          <w:rFonts w:ascii="宋体" w:hAnsi="宋体"/>
          <w:b/>
          <w:bCs/>
          <w:spacing w:val="8"/>
          <w:sz w:val="36"/>
          <w:szCs w:val="32"/>
        </w:rPr>
      </w:pPr>
      <w:r>
        <w:rPr>
          <w:rFonts w:hint="eastAsia" w:ascii="宋体" w:hAnsi="宋体"/>
          <w:b/>
          <w:bCs/>
          <w:spacing w:val="8"/>
          <w:sz w:val="36"/>
          <w:szCs w:val="32"/>
        </w:rPr>
        <w:t>根据招标工程量清单进行报价</w:t>
      </w:r>
    </w:p>
    <w:p w14:paraId="2A7ED888">
      <w:pPr>
        <w:spacing w:line="360" w:lineRule="auto"/>
        <w:rPr>
          <w:rFonts w:hAnsi="宋体"/>
          <w:b/>
          <w:bCs/>
          <w:spacing w:val="8"/>
          <w:sz w:val="36"/>
          <w:szCs w:val="32"/>
        </w:rPr>
      </w:pPr>
    </w:p>
    <w:p w14:paraId="15F7D5B0">
      <w:pPr>
        <w:pStyle w:val="67"/>
        <w:spacing w:line="360" w:lineRule="auto"/>
      </w:pPr>
    </w:p>
    <w:p w14:paraId="20F6AFBF">
      <w:pPr>
        <w:spacing w:line="360" w:lineRule="auto"/>
      </w:pPr>
    </w:p>
    <w:p w14:paraId="1D3FC124">
      <w:pPr>
        <w:adjustRightInd w:val="0"/>
        <w:spacing w:line="360" w:lineRule="auto"/>
        <w:ind w:firstLine="514" w:firstLineChars="200"/>
        <w:rPr>
          <w:rFonts w:hAnsi="宋体"/>
          <w:b/>
          <w:bCs/>
          <w:spacing w:val="8"/>
        </w:rPr>
      </w:pPr>
    </w:p>
    <w:p w14:paraId="23D22593">
      <w:pPr>
        <w:spacing w:line="360" w:lineRule="auto"/>
        <w:ind w:firstLine="480" w:firstLineChars="200"/>
        <w:rPr>
          <w:rFonts w:hAnsi="宋体"/>
        </w:rPr>
      </w:pPr>
    </w:p>
    <w:p w14:paraId="35893782">
      <w:pPr>
        <w:spacing w:line="360" w:lineRule="auto"/>
        <w:ind w:firstLine="480" w:firstLineChars="200"/>
        <w:rPr>
          <w:rFonts w:hAnsi="宋体"/>
        </w:rPr>
      </w:pPr>
      <w:r>
        <w:rPr>
          <w:rFonts w:hint="eastAsia" w:hAnsi="宋体"/>
        </w:rPr>
        <w:t>供应商名称：                      （单位公章）</w:t>
      </w:r>
    </w:p>
    <w:p w14:paraId="29294364">
      <w:pPr>
        <w:spacing w:line="360" w:lineRule="auto"/>
        <w:ind w:firstLine="480" w:firstLineChars="200"/>
        <w:rPr>
          <w:rFonts w:hAnsi="宋体"/>
        </w:rPr>
      </w:pPr>
      <w:r>
        <w:rPr>
          <w:rFonts w:hint="eastAsia" w:hAnsi="宋体"/>
        </w:rPr>
        <w:t>法定代表人或授权代表（签字或加盖个人名章）：</w:t>
      </w:r>
    </w:p>
    <w:p w14:paraId="7F845C25">
      <w:pPr>
        <w:spacing w:line="360" w:lineRule="auto"/>
        <w:ind w:firstLine="480" w:firstLineChars="200"/>
      </w:pPr>
      <w:r>
        <w:rPr>
          <w:rFonts w:hint="eastAsia" w:hAnsi="宋体"/>
        </w:rPr>
        <w:t>日期：</w:t>
      </w:r>
      <w:r>
        <w:rPr>
          <w:rFonts w:hAnsi="宋体" w:cs="宋体"/>
          <w:b/>
          <w:bCs/>
          <w:szCs w:val="24"/>
        </w:rPr>
        <w:br w:type="page"/>
      </w:r>
      <w:bookmarkStart w:id="453" w:name="_Toc28572"/>
      <w:bookmarkStart w:id="454" w:name="_Toc138168019"/>
      <w:bookmarkStart w:id="455" w:name="_Toc170477128"/>
      <w:r>
        <w:rPr>
          <w:rFonts w:hint="eastAsia" w:hAnsi="宋体" w:cs="宋体"/>
          <w:b/>
          <w:bCs/>
          <w:szCs w:val="24"/>
        </w:rPr>
        <w:t xml:space="preserve">                       </w:t>
      </w:r>
      <w:r>
        <w:rPr>
          <w:rFonts w:hint="eastAsia"/>
          <w:b/>
          <w:bCs/>
          <w:sz w:val="32"/>
          <w:szCs w:val="32"/>
        </w:rPr>
        <w:t xml:space="preserve"> 四、技术要求响应表</w:t>
      </w:r>
      <w:bookmarkEnd w:id="453"/>
      <w:bookmarkEnd w:id="454"/>
      <w:bookmarkEnd w:id="455"/>
    </w:p>
    <w:p w14:paraId="0ADFEA98">
      <w:pPr>
        <w:spacing w:line="360" w:lineRule="auto"/>
        <w:rPr>
          <w:rFonts w:hAnsi="宋体"/>
        </w:rPr>
      </w:pPr>
      <w:r>
        <w:rPr>
          <w:rFonts w:hint="eastAsia" w:hAnsi="宋体"/>
        </w:rPr>
        <w:t>采购项目名称：</w:t>
      </w:r>
      <w:r>
        <w:rPr>
          <w:rFonts w:hint="eastAsia" w:hAnsi="宋体"/>
          <w:u w:val="single"/>
        </w:rPr>
        <w:t xml:space="preserve">                                      </w:t>
      </w:r>
      <w:r>
        <w:rPr>
          <w:rFonts w:hint="eastAsia" w:hAnsi="宋体"/>
        </w:rPr>
        <w:t xml:space="preserve"> </w:t>
      </w:r>
    </w:p>
    <w:p w14:paraId="548DCE46">
      <w:pPr>
        <w:pStyle w:val="39"/>
        <w:jc w:val="left"/>
        <w:rPr>
          <w:rFonts w:hAnsi="宋体" w:cs="宋体"/>
        </w:rPr>
      </w:pPr>
      <w:r>
        <w:rPr>
          <w:rFonts w:hint="eastAsia" w:hAnsi="宋体"/>
        </w:rPr>
        <w:t>采购</w:t>
      </w:r>
      <w:r>
        <w:rPr>
          <w:rFonts w:hint="eastAsia" w:hAnsi="宋体" w:cs="宋体"/>
        </w:rPr>
        <w:t>文件编号：</w:t>
      </w:r>
      <w:r>
        <w:rPr>
          <w:rFonts w:hint="eastAsia" w:hAnsi="宋体" w:cs="宋体"/>
          <w:u w:val="single"/>
        </w:rPr>
        <w:t xml:space="preserve">     </w:t>
      </w:r>
      <w:r>
        <w:rPr>
          <w:rFonts w:hint="eastAsia" w:hAnsi="宋体"/>
          <w:u w:val="single"/>
        </w:rPr>
        <w:t xml:space="preserve">                                 </w:t>
      </w:r>
      <w:r>
        <w:rPr>
          <w:rFonts w:hint="eastAsia" w:hAnsi="宋体"/>
        </w:rPr>
        <w:t xml:space="preserve">   </w:t>
      </w:r>
    </w:p>
    <w:tbl>
      <w:tblPr>
        <w:tblStyle w:val="2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3244"/>
        <w:gridCol w:w="2410"/>
        <w:gridCol w:w="1559"/>
        <w:gridCol w:w="992"/>
      </w:tblGrid>
      <w:tr w14:paraId="4B29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62" w:type="dxa"/>
            <w:tcBorders>
              <w:top w:val="single" w:color="auto" w:sz="4" w:space="0"/>
              <w:left w:val="single" w:color="auto" w:sz="4" w:space="0"/>
              <w:bottom w:val="single" w:color="auto" w:sz="4" w:space="0"/>
              <w:right w:val="single" w:color="auto" w:sz="4" w:space="0"/>
            </w:tcBorders>
            <w:vAlign w:val="center"/>
          </w:tcPr>
          <w:p w14:paraId="18CC8890">
            <w:pPr>
              <w:spacing w:line="360" w:lineRule="auto"/>
              <w:jc w:val="center"/>
              <w:rPr>
                <w:rFonts w:hAnsi="宋体"/>
              </w:rPr>
            </w:pPr>
            <w:r>
              <w:rPr>
                <w:rFonts w:hint="eastAsia" w:hAnsi="宋体"/>
              </w:rPr>
              <w:t>序号</w:t>
            </w:r>
          </w:p>
        </w:tc>
        <w:tc>
          <w:tcPr>
            <w:tcW w:w="3244" w:type="dxa"/>
            <w:tcBorders>
              <w:top w:val="single" w:color="auto" w:sz="4" w:space="0"/>
              <w:left w:val="single" w:color="auto" w:sz="4" w:space="0"/>
              <w:bottom w:val="single" w:color="auto" w:sz="4" w:space="0"/>
              <w:right w:val="single" w:color="auto" w:sz="4" w:space="0"/>
            </w:tcBorders>
            <w:vAlign w:val="center"/>
          </w:tcPr>
          <w:p w14:paraId="626A729A">
            <w:pPr>
              <w:spacing w:line="360" w:lineRule="auto"/>
              <w:jc w:val="center"/>
              <w:rPr>
                <w:rFonts w:hAnsi="宋体"/>
              </w:rPr>
            </w:pPr>
            <w:r>
              <w:rPr>
                <w:rFonts w:hint="eastAsia" w:hAnsi="宋体"/>
              </w:rPr>
              <w:t>磋商文件第四章技术要求</w:t>
            </w:r>
          </w:p>
        </w:tc>
        <w:tc>
          <w:tcPr>
            <w:tcW w:w="2410" w:type="dxa"/>
            <w:tcBorders>
              <w:top w:val="single" w:color="auto" w:sz="4" w:space="0"/>
              <w:left w:val="single" w:color="auto" w:sz="4" w:space="0"/>
              <w:bottom w:val="single" w:color="auto" w:sz="4" w:space="0"/>
              <w:right w:val="single" w:color="auto" w:sz="4" w:space="0"/>
            </w:tcBorders>
            <w:vAlign w:val="center"/>
          </w:tcPr>
          <w:p w14:paraId="74310584">
            <w:pPr>
              <w:spacing w:line="360" w:lineRule="auto"/>
              <w:jc w:val="center"/>
              <w:rPr>
                <w:rFonts w:hAnsi="宋体"/>
              </w:rPr>
            </w:pPr>
            <w:r>
              <w:rPr>
                <w:rFonts w:hint="eastAsia" w:hAnsi="宋体"/>
              </w:rPr>
              <w:t>响应文件响应</w:t>
            </w:r>
          </w:p>
        </w:tc>
        <w:tc>
          <w:tcPr>
            <w:tcW w:w="1559" w:type="dxa"/>
            <w:tcBorders>
              <w:top w:val="single" w:color="auto" w:sz="4" w:space="0"/>
              <w:left w:val="single" w:color="auto" w:sz="4" w:space="0"/>
              <w:bottom w:val="single" w:color="auto" w:sz="4" w:space="0"/>
              <w:right w:val="single" w:color="auto" w:sz="4" w:space="0"/>
            </w:tcBorders>
            <w:vAlign w:val="center"/>
          </w:tcPr>
          <w:p w14:paraId="495EB806">
            <w:pPr>
              <w:spacing w:line="360" w:lineRule="auto"/>
              <w:jc w:val="center"/>
              <w:rPr>
                <w:rFonts w:hAnsi="宋体"/>
              </w:rPr>
            </w:pPr>
            <w:r>
              <w:rPr>
                <w:rFonts w:hint="eastAsia" w:hAnsi="宋体"/>
              </w:rPr>
              <w:t>正/负</w:t>
            </w:r>
            <w:r>
              <w:rPr>
                <w:rFonts w:hint="eastAsia" w:hAnsi="宋体"/>
                <w:bCs/>
                <w:spacing w:val="8"/>
              </w:rPr>
              <w:t>偏离</w:t>
            </w:r>
          </w:p>
        </w:tc>
        <w:tc>
          <w:tcPr>
            <w:tcW w:w="992" w:type="dxa"/>
            <w:tcBorders>
              <w:top w:val="single" w:color="auto" w:sz="4" w:space="0"/>
              <w:left w:val="single" w:color="auto" w:sz="4" w:space="0"/>
              <w:bottom w:val="single" w:color="auto" w:sz="4" w:space="0"/>
              <w:right w:val="single" w:color="auto" w:sz="4" w:space="0"/>
            </w:tcBorders>
            <w:vAlign w:val="center"/>
          </w:tcPr>
          <w:p w14:paraId="16463FE4">
            <w:pPr>
              <w:spacing w:line="360" w:lineRule="auto"/>
              <w:ind w:firstLine="240" w:firstLineChars="100"/>
              <w:rPr>
                <w:rFonts w:hAnsi="宋体"/>
              </w:rPr>
            </w:pPr>
            <w:r>
              <w:rPr>
                <w:rFonts w:hint="eastAsia" w:hAnsi="宋体"/>
              </w:rPr>
              <w:t>备注</w:t>
            </w:r>
          </w:p>
        </w:tc>
      </w:tr>
      <w:tr w14:paraId="017BF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62" w:type="dxa"/>
            <w:tcBorders>
              <w:top w:val="single" w:color="auto" w:sz="4" w:space="0"/>
              <w:left w:val="single" w:color="auto" w:sz="4" w:space="0"/>
              <w:bottom w:val="single" w:color="auto" w:sz="4" w:space="0"/>
              <w:right w:val="single" w:color="auto" w:sz="4" w:space="0"/>
            </w:tcBorders>
          </w:tcPr>
          <w:p w14:paraId="41FFB5C9">
            <w:pPr>
              <w:spacing w:line="360" w:lineRule="auto"/>
              <w:jc w:val="center"/>
              <w:rPr>
                <w:rFonts w:hAnsi="宋体"/>
                <w:szCs w:val="21"/>
              </w:rPr>
            </w:pPr>
          </w:p>
        </w:tc>
        <w:tc>
          <w:tcPr>
            <w:tcW w:w="3244" w:type="dxa"/>
            <w:tcBorders>
              <w:top w:val="single" w:color="auto" w:sz="4" w:space="0"/>
              <w:left w:val="single" w:color="auto" w:sz="4" w:space="0"/>
              <w:bottom w:val="single" w:color="auto" w:sz="4" w:space="0"/>
              <w:right w:val="single" w:color="auto" w:sz="4" w:space="0"/>
            </w:tcBorders>
          </w:tcPr>
          <w:p w14:paraId="5E655CC0">
            <w:pPr>
              <w:spacing w:line="360" w:lineRule="auto"/>
              <w:rPr>
                <w:rFonts w:hAnsi="宋体"/>
                <w:szCs w:val="21"/>
              </w:rPr>
            </w:pPr>
          </w:p>
        </w:tc>
        <w:tc>
          <w:tcPr>
            <w:tcW w:w="2410" w:type="dxa"/>
            <w:tcBorders>
              <w:top w:val="single" w:color="auto" w:sz="4" w:space="0"/>
              <w:left w:val="single" w:color="auto" w:sz="4" w:space="0"/>
              <w:bottom w:val="single" w:color="auto" w:sz="4" w:space="0"/>
              <w:right w:val="single" w:color="auto" w:sz="4" w:space="0"/>
            </w:tcBorders>
          </w:tcPr>
          <w:p w14:paraId="688C5B64">
            <w:pPr>
              <w:spacing w:line="360" w:lineRule="auto"/>
              <w:rPr>
                <w:rFonts w:hAnsi="宋体"/>
                <w:szCs w:val="21"/>
              </w:rPr>
            </w:pPr>
          </w:p>
        </w:tc>
        <w:tc>
          <w:tcPr>
            <w:tcW w:w="1559" w:type="dxa"/>
            <w:tcBorders>
              <w:top w:val="single" w:color="auto" w:sz="4" w:space="0"/>
              <w:left w:val="single" w:color="auto" w:sz="4" w:space="0"/>
              <w:bottom w:val="single" w:color="auto" w:sz="4" w:space="0"/>
              <w:right w:val="single" w:color="auto" w:sz="4" w:space="0"/>
            </w:tcBorders>
          </w:tcPr>
          <w:p w14:paraId="5C83EED8">
            <w:pPr>
              <w:spacing w:line="360" w:lineRule="auto"/>
              <w:rPr>
                <w:rFonts w:hAnsi="宋体"/>
                <w:szCs w:val="21"/>
              </w:rPr>
            </w:pPr>
          </w:p>
        </w:tc>
        <w:tc>
          <w:tcPr>
            <w:tcW w:w="992" w:type="dxa"/>
            <w:tcBorders>
              <w:top w:val="single" w:color="auto" w:sz="4" w:space="0"/>
              <w:left w:val="single" w:color="auto" w:sz="4" w:space="0"/>
              <w:bottom w:val="single" w:color="auto" w:sz="4" w:space="0"/>
              <w:right w:val="single" w:color="auto" w:sz="4" w:space="0"/>
            </w:tcBorders>
          </w:tcPr>
          <w:p w14:paraId="0881E111">
            <w:pPr>
              <w:spacing w:line="360" w:lineRule="auto"/>
              <w:rPr>
                <w:rFonts w:hAnsi="宋体"/>
                <w:szCs w:val="21"/>
              </w:rPr>
            </w:pPr>
          </w:p>
        </w:tc>
      </w:tr>
      <w:tr w14:paraId="32CC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62" w:type="dxa"/>
            <w:tcBorders>
              <w:top w:val="single" w:color="auto" w:sz="4" w:space="0"/>
              <w:left w:val="single" w:color="auto" w:sz="4" w:space="0"/>
              <w:bottom w:val="single" w:color="auto" w:sz="4" w:space="0"/>
              <w:right w:val="single" w:color="auto" w:sz="4" w:space="0"/>
            </w:tcBorders>
          </w:tcPr>
          <w:p w14:paraId="129D5C53">
            <w:pPr>
              <w:spacing w:line="360" w:lineRule="auto"/>
              <w:jc w:val="center"/>
              <w:rPr>
                <w:rFonts w:hAnsi="宋体"/>
                <w:szCs w:val="21"/>
              </w:rPr>
            </w:pPr>
          </w:p>
        </w:tc>
        <w:tc>
          <w:tcPr>
            <w:tcW w:w="3244" w:type="dxa"/>
            <w:tcBorders>
              <w:top w:val="single" w:color="auto" w:sz="4" w:space="0"/>
              <w:left w:val="single" w:color="auto" w:sz="4" w:space="0"/>
              <w:bottom w:val="single" w:color="auto" w:sz="4" w:space="0"/>
              <w:right w:val="single" w:color="auto" w:sz="4" w:space="0"/>
            </w:tcBorders>
          </w:tcPr>
          <w:p w14:paraId="4C37A358">
            <w:pPr>
              <w:spacing w:line="360" w:lineRule="auto"/>
              <w:rPr>
                <w:rFonts w:hAnsi="宋体"/>
                <w:szCs w:val="21"/>
              </w:rPr>
            </w:pPr>
          </w:p>
        </w:tc>
        <w:tc>
          <w:tcPr>
            <w:tcW w:w="2410" w:type="dxa"/>
            <w:tcBorders>
              <w:top w:val="single" w:color="auto" w:sz="4" w:space="0"/>
              <w:left w:val="single" w:color="auto" w:sz="4" w:space="0"/>
              <w:bottom w:val="single" w:color="auto" w:sz="4" w:space="0"/>
              <w:right w:val="single" w:color="auto" w:sz="4" w:space="0"/>
            </w:tcBorders>
          </w:tcPr>
          <w:p w14:paraId="703D2CC0">
            <w:pPr>
              <w:spacing w:line="360" w:lineRule="auto"/>
              <w:rPr>
                <w:rFonts w:hAnsi="宋体"/>
                <w:szCs w:val="21"/>
              </w:rPr>
            </w:pPr>
          </w:p>
        </w:tc>
        <w:tc>
          <w:tcPr>
            <w:tcW w:w="1559" w:type="dxa"/>
            <w:tcBorders>
              <w:top w:val="single" w:color="auto" w:sz="4" w:space="0"/>
              <w:left w:val="single" w:color="auto" w:sz="4" w:space="0"/>
              <w:bottom w:val="single" w:color="auto" w:sz="4" w:space="0"/>
              <w:right w:val="single" w:color="auto" w:sz="4" w:space="0"/>
            </w:tcBorders>
          </w:tcPr>
          <w:p w14:paraId="344B7535">
            <w:pPr>
              <w:spacing w:line="360" w:lineRule="auto"/>
              <w:rPr>
                <w:rFonts w:hAnsi="宋体"/>
                <w:szCs w:val="21"/>
              </w:rPr>
            </w:pPr>
          </w:p>
        </w:tc>
        <w:tc>
          <w:tcPr>
            <w:tcW w:w="992" w:type="dxa"/>
            <w:tcBorders>
              <w:top w:val="single" w:color="auto" w:sz="4" w:space="0"/>
              <w:left w:val="single" w:color="auto" w:sz="4" w:space="0"/>
              <w:bottom w:val="single" w:color="auto" w:sz="4" w:space="0"/>
              <w:right w:val="single" w:color="auto" w:sz="4" w:space="0"/>
            </w:tcBorders>
          </w:tcPr>
          <w:p w14:paraId="31D2C17B">
            <w:pPr>
              <w:spacing w:line="360" w:lineRule="auto"/>
              <w:rPr>
                <w:rFonts w:hAnsi="宋体"/>
                <w:szCs w:val="21"/>
              </w:rPr>
            </w:pPr>
          </w:p>
        </w:tc>
      </w:tr>
      <w:tr w14:paraId="5F07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62" w:type="dxa"/>
            <w:tcBorders>
              <w:top w:val="single" w:color="auto" w:sz="4" w:space="0"/>
              <w:left w:val="single" w:color="auto" w:sz="4" w:space="0"/>
              <w:bottom w:val="single" w:color="auto" w:sz="4" w:space="0"/>
              <w:right w:val="single" w:color="auto" w:sz="4" w:space="0"/>
            </w:tcBorders>
          </w:tcPr>
          <w:p w14:paraId="3B848D1A">
            <w:pPr>
              <w:spacing w:line="360" w:lineRule="auto"/>
              <w:jc w:val="center"/>
              <w:rPr>
                <w:rFonts w:hAnsi="宋体"/>
                <w:szCs w:val="21"/>
              </w:rPr>
            </w:pPr>
          </w:p>
        </w:tc>
        <w:tc>
          <w:tcPr>
            <w:tcW w:w="3244" w:type="dxa"/>
            <w:tcBorders>
              <w:top w:val="single" w:color="auto" w:sz="4" w:space="0"/>
              <w:left w:val="single" w:color="auto" w:sz="4" w:space="0"/>
              <w:bottom w:val="single" w:color="auto" w:sz="4" w:space="0"/>
              <w:right w:val="single" w:color="auto" w:sz="4" w:space="0"/>
            </w:tcBorders>
          </w:tcPr>
          <w:p w14:paraId="2EE082BF">
            <w:pPr>
              <w:spacing w:line="360" w:lineRule="auto"/>
              <w:rPr>
                <w:rFonts w:hAnsi="宋体"/>
                <w:szCs w:val="21"/>
              </w:rPr>
            </w:pPr>
          </w:p>
        </w:tc>
        <w:tc>
          <w:tcPr>
            <w:tcW w:w="2410" w:type="dxa"/>
            <w:tcBorders>
              <w:top w:val="single" w:color="auto" w:sz="4" w:space="0"/>
              <w:left w:val="single" w:color="auto" w:sz="4" w:space="0"/>
              <w:bottom w:val="single" w:color="auto" w:sz="4" w:space="0"/>
              <w:right w:val="single" w:color="auto" w:sz="4" w:space="0"/>
            </w:tcBorders>
          </w:tcPr>
          <w:p w14:paraId="0A89BF31">
            <w:pPr>
              <w:spacing w:line="360" w:lineRule="auto"/>
              <w:rPr>
                <w:rFonts w:hAnsi="宋体"/>
                <w:szCs w:val="21"/>
              </w:rPr>
            </w:pPr>
          </w:p>
        </w:tc>
        <w:tc>
          <w:tcPr>
            <w:tcW w:w="1559" w:type="dxa"/>
            <w:tcBorders>
              <w:top w:val="single" w:color="auto" w:sz="4" w:space="0"/>
              <w:left w:val="single" w:color="auto" w:sz="4" w:space="0"/>
              <w:bottom w:val="single" w:color="auto" w:sz="4" w:space="0"/>
              <w:right w:val="single" w:color="auto" w:sz="4" w:space="0"/>
            </w:tcBorders>
          </w:tcPr>
          <w:p w14:paraId="481562A8">
            <w:pPr>
              <w:spacing w:line="360" w:lineRule="auto"/>
              <w:rPr>
                <w:rFonts w:hAnsi="宋体"/>
                <w:szCs w:val="21"/>
              </w:rPr>
            </w:pPr>
          </w:p>
        </w:tc>
        <w:tc>
          <w:tcPr>
            <w:tcW w:w="992" w:type="dxa"/>
            <w:tcBorders>
              <w:top w:val="single" w:color="auto" w:sz="4" w:space="0"/>
              <w:left w:val="single" w:color="auto" w:sz="4" w:space="0"/>
              <w:bottom w:val="single" w:color="auto" w:sz="4" w:space="0"/>
              <w:right w:val="single" w:color="auto" w:sz="4" w:space="0"/>
            </w:tcBorders>
          </w:tcPr>
          <w:p w14:paraId="0F4C6E64">
            <w:pPr>
              <w:spacing w:line="360" w:lineRule="auto"/>
              <w:rPr>
                <w:rFonts w:hAnsi="宋体"/>
                <w:szCs w:val="21"/>
              </w:rPr>
            </w:pPr>
          </w:p>
        </w:tc>
      </w:tr>
      <w:tr w14:paraId="0A71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62" w:type="dxa"/>
            <w:tcBorders>
              <w:top w:val="single" w:color="auto" w:sz="4" w:space="0"/>
              <w:left w:val="single" w:color="auto" w:sz="4" w:space="0"/>
              <w:bottom w:val="single" w:color="auto" w:sz="4" w:space="0"/>
              <w:right w:val="single" w:color="auto" w:sz="4" w:space="0"/>
            </w:tcBorders>
          </w:tcPr>
          <w:p w14:paraId="77E1D379">
            <w:pPr>
              <w:spacing w:line="360" w:lineRule="auto"/>
              <w:jc w:val="center"/>
              <w:rPr>
                <w:rFonts w:hAnsi="宋体"/>
                <w:szCs w:val="21"/>
              </w:rPr>
            </w:pPr>
          </w:p>
        </w:tc>
        <w:tc>
          <w:tcPr>
            <w:tcW w:w="3244" w:type="dxa"/>
            <w:tcBorders>
              <w:top w:val="single" w:color="auto" w:sz="4" w:space="0"/>
              <w:left w:val="single" w:color="auto" w:sz="4" w:space="0"/>
              <w:bottom w:val="single" w:color="auto" w:sz="4" w:space="0"/>
              <w:right w:val="single" w:color="auto" w:sz="4" w:space="0"/>
            </w:tcBorders>
          </w:tcPr>
          <w:p w14:paraId="3F0E0BB8">
            <w:pPr>
              <w:spacing w:line="360" w:lineRule="auto"/>
              <w:rPr>
                <w:rFonts w:hAnsi="宋体"/>
                <w:szCs w:val="21"/>
              </w:rPr>
            </w:pPr>
          </w:p>
        </w:tc>
        <w:tc>
          <w:tcPr>
            <w:tcW w:w="2410" w:type="dxa"/>
            <w:tcBorders>
              <w:top w:val="single" w:color="auto" w:sz="4" w:space="0"/>
              <w:left w:val="single" w:color="auto" w:sz="4" w:space="0"/>
              <w:bottom w:val="single" w:color="auto" w:sz="4" w:space="0"/>
              <w:right w:val="single" w:color="auto" w:sz="4" w:space="0"/>
            </w:tcBorders>
          </w:tcPr>
          <w:p w14:paraId="769E28A1">
            <w:pPr>
              <w:spacing w:line="360" w:lineRule="auto"/>
              <w:rPr>
                <w:rFonts w:hAnsi="宋体"/>
                <w:szCs w:val="21"/>
              </w:rPr>
            </w:pPr>
          </w:p>
        </w:tc>
        <w:tc>
          <w:tcPr>
            <w:tcW w:w="1559" w:type="dxa"/>
            <w:tcBorders>
              <w:top w:val="single" w:color="auto" w:sz="4" w:space="0"/>
              <w:left w:val="single" w:color="auto" w:sz="4" w:space="0"/>
              <w:bottom w:val="single" w:color="auto" w:sz="4" w:space="0"/>
              <w:right w:val="single" w:color="auto" w:sz="4" w:space="0"/>
            </w:tcBorders>
          </w:tcPr>
          <w:p w14:paraId="2CE76E1C">
            <w:pPr>
              <w:spacing w:line="360" w:lineRule="auto"/>
              <w:rPr>
                <w:rFonts w:hAnsi="宋体"/>
                <w:szCs w:val="21"/>
              </w:rPr>
            </w:pPr>
          </w:p>
        </w:tc>
        <w:tc>
          <w:tcPr>
            <w:tcW w:w="992" w:type="dxa"/>
            <w:tcBorders>
              <w:top w:val="single" w:color="auto" w:sz="4" w:space="0"/>
              <w:left w:val="single" w:color="auto" w:sz="4" w:space="0"/>
              <w:bottom w:val="single" w:color="auto" w:sz="4" w:space="0"/>
              <w:right w:val="single" w:color="auto" w:sz="4" w:space="0"/>
            </w:tcBorders>
          </w:tcPr>
          <w:p w14:paraId="170CD98C">
            <w:pPr>
              <w:spacing w:line="360" w:lineRule="auto"/>
              <w:rPr>
                <w:rFonts w:hAnsi="宋体"/>
                <w:szCs w:val="21"/>
              </w:rPr>
            </w:pPr>
          </w:p>
        </w:tc>
      </w:tr>
    </w:tbl>
    <w:p w14:paraId="7705D3D5">
      <w:pPr>
        <w:pStyle w:val="39"/>
        <w:jc w:val="left"/>
        <w:rPr>
          <w:rFonts w:hAnsi="宋体" w:cs="宋体"/>
        </w:rPr>
      </w:pPr>
      <w:r>
        <w:rPr>
          <w:rFonts w:hAnsi="宋体" w:cs="宋体"/>
        </w:rPr>
        <w:t>此表可延长</w:t>
      </w:r>
    </w:p>
    <w:p w14:paraId="4017ABBE">
      <w:pPr>
        <w:adjustRightInd w:val="0"/>
        <w:spacing w:line="360" w:lineRule="auto"/>
        <w:rPr>
          <w:rFonts w:hAnsi="宋体"/>
          <w:bCs/>
          <w:spacing w:val="8"/>
        </w:rPr>
      </w:pPr>
      <w:r>
        <w:rPr>
          <w:rFonts w:hint="eastAsia" w:hAnsi="宋体"/>
          <w:bCs/>
          <w:spacing w:val="8"/>
        </w:rPr>
        <w:t>注：1、供应商按照磋商文件要求做出的技术应答，主要是针对招标项目的技术要求做出的实质性响应和满足。</w:t>
      </w:r>
    </w:p>
    <w:p w14:paraId="35257550">
      <w:pPr>
        <w:adjustRightInd w:val="0"/>
        <w:spacing w:line="360" w:lineRule="auto"/>
        <w:ind w:firstLine="512" w:firstLineChars="200"/>
        <w:rPr>
          <w:rFonts w:hAnsi="宋体"/>
          <w:bCs/>
          <w:spacing w:val="8"/>
        </w:rPr>
      </w:pPr>
      <w:r>
        <w:rPr>
          <w:rFonts w:hint="eastAsia" w:hAnsi="宋体"/>
          <w:bCs/>
          <w:spacing w:val="8"/>
        </w:rPr>
        <w:t>2、供应商必须顺序逐项对照填写，注明正、负或无偏离。</w:t>
      </w:r>
    </w:p>
    <w:p w14:paraId="7C0AE8A5">
      <w:pPr>
        <w:adjustRightInd w:val="0"/>
        <w:spacing w:line="360" w:lineRule="auto"/>
        <w:ind w:firstLine="512" w:firstLineChars="200"/>
        <w:rPr>
          <w:rFonts w:hAnsi="宋体"/>
          <w:bCs/>
          <w:spacing w:val="8"/>
        </w:rPr>
      </w:pPr>
      <w:r>
        <w:rPr>
          <w:rFonts w:hAnsi="宋体"/>
          <w:bCs/>
          <w:spacing w:val="8"/>
        </w:rPr>
        <w:t>3</w:t>
      </w:r>
      <w:r>
        <w:rPr>
          <w:rFonts w:hint="eastAsia" w:hAnsi="宋体"/>
          <w:bCs/>
          <w:spacing w:val="8"/>
        </w:rPr>
        <w:t>、供应商必须据实填写，不得虚假响应，否则将取消其投标或中标资格，并按有关规定进行处罚。</w:t>
      </w:r>
    </w:p>
    <w:p w14:paraId="78763E3C">
      <w:pPr>
        <w:adjustRightInd w:val="0"/>
        <w:spacing w:line="360" w:lineRule="auto"/>
        <w:jc w:val="left"/>
        <w:rPr>
          <w:rFonts w:hAnsi="宋体" w:cs="宋体"/>
          <w:szCs w:val="24"/>
        </w:rPr>
      </w:pPr>
    </w:p>
    <w:p w14:paraId="5198E696">
      <w:pPr>
        <w:spacing w:line="360" w:lineRule="auto"/>
        <w:ind w:firstLine="470" w:firstLineChars="196"/>
        <w:rPr>
          <w:rFonts w:hAnsi="宋体" w:cs="宋体"/>
          <w:szCs w:val="24"/>
        </w:rPr>
      </w:pPr>
    </w:p>
    <w:p w14:paraId="5C6763F8">
      <w:pPr>
        <w:spacing w:line="360" w:lineRule="auto"/>
        <w:ind w:firstLine="470" w:firstLineChars="196"/>
        <w:rPr>
          <w:rFonts w:hAnsi="宋体" w:cs="宋体"/>
          <w:szCs w:val="24"/>
        </w:rPr>
      </w:pPr>
      <w:r>
        <w:rPr>
          <w:rFonts w:hint="eastAsia" w:hAnsi="宋体" w:cs="宋体"/>
          <w:szCs w:val="24"/>
        </w:rPr>
        <w:t>供应商名称：（单位公章）</w:t>
      </w:r>
    </w:p>
    <w:p w14:paraId="1683BEC0">
      <w:pPr>
        <w:spacing w:line="360" w:lineRule="auto"/>
        <w:ind w:firstLine="470" w:firstLineChars="196"/>
        <w:rPr>
          <w:rFonts w:hAnsi="宋体" w:cs="宋体"/>
          <w:szCs w:val="24"/>
        </w:rPr>
      </w:pPr>
      <w:r>
        <w:rPr>
          <w:rFonts w:hint="eastAsia" w:hAnsi="宋体" w:cs="宋体"/>
          <w:szCs w:val="24"/>
        </w:rPr>
        <w:t>法定代表人或授权代理人（签字或盖章）：</w:t>
      </w:r>
    </w:p>
    <w:p w14:paraId="3D7450EA">
      <w:pPr>
        <w:spacing w:line="360" w:lineRule="auto"/>
        <w:ind w:firstLine="470" w:firstLineChars="196"/>
        <w:rPr>
          <w:rFonts w:hAnsi="宋体" w:cs="宋体"/>
          <w:szCs w:val="24"/>
        </w:rPr>
      </w:pPr>
      <w:r>
        <w:rPr>
          <w:rFonts w:hint="eastAsia" w:hAnsi="宋体" w:cs="宋体"/>
          <w:szCs w:val="24"/>
        </w:rPr>
        <w:t>日    期：</w:t>
      </w:r>
    </w:p>
    <w:p w14:paraId="0475BC69">
      <w:pPr>
        <w:adjustRightInd w:val="0"/>
        <w:spacing w:line="360" w:lineRule="auto"/>
        <w:ind w:firstLine="420" w:firstLineChars="175"/>
        <w:jc w:val="left"/>
        <w:rPr>
          <w:rFonts w:hAnsi="宋体" w:cs="宋体"/>
          <w:bCs/>
          <w:szCs w:val="24"/>
        </w:rPr>
      </w:pPr>
    </w:p>
    <w:p w14:paraId="0C485FF4">
      <w:pPr>
        <w:adjustRightInd w:val="0"/>
        <w:spacing w:line="360" w:lineRule="auto"/>
        <w:ind w:firstLine="420" w:firstLineChars="175"/>
        <w:jc w:val="left"/>
        <w:rPr>
          <w:rFonts w:hAnsi="宋体" w:cs="宋体"/>
          <w:bCs/>
          <w:szCs w:val="24"/>
        </w:rPr>
      </w:pPr>
    </w:p>
    <w:p w14:paraId="25064C05">
      <w:pPr>
        <w:adjustRightInd w:val="0"/>
        <w:spacing w:line="360" w:lineRule="auto"/>
        <w:ind w:firstLine="420" w:firstLineChars="175"/>
        <w:jc w:val="left"/>
        <w:rPr>
          <w:rFonts w:hAnsi="宋体" w:cs="宋体"/>
          <w:bCs/>
          <w:szCs w:val="24"/>
        </w:rPr>
      </w:pPr>
    </w:p>
    <w:p w14:paraId="7958A855">
      <w:pPr>
        <w:adjustRightInd w:val="0"/>
        <w:spacing w:line="360" w:lineRule="auto"/>
        <w:ind w:firstLine="420" w:firstLineChars="175"/>
        <w:jc w:val="left"/>
        <w:rPr>
          <w:rFonts w:hAnsi="宋体" w:cs="宋体"/>
          <w:bCs/>
          <w:szCs w:val="24"/>
        </w:rPr>
      </w:pPr>
    </w:p>
    <w:p w14:paraId="254E871A">
      <w:pPr>
        <w:widowControl/>
        <w:spacing w:line="360" w:lineRule="auto"/>
        <w:jc w:val="left"/>
        <w:rPr>
          <w:rFonts w:hAnsi="宋体" w:cs="宋体"/>
          <w:szCs w:val="24"/>
        </w:rPr>
      </w:pPr>
      <w:bookmarkStart w:id="456" w:name="_Toc138168020"/>
    </w:p>
    <w:p w14:paraId="3246E367">
      <w:pPr>
        <w:widowControl/>
        <w:spacing w:line="360" w:lineRule="auto"/>
        <w:jc w:val="left"/>
        <w:rPr>
          <w:rFonts w:hAnsi="宋体" w:cs="宋体"/>
          <w:szCs w:val="24"/>
        </w:rPr>
      </w:pPr>
    </w:p>
    <w:p w14:paraId="143C37E8">
      <w:pPr>
        <w:widowControl/>
        <w:spacing w:line="360" w:lineRule="auto"/>
        <w:jc w:val="left"/>
        <w:rPr>
          <w:rFonts w:hAnsi="宋体" w:cs="宋体"/>
          <w:szCs w:val="24"/>
        </w:rPr>
      </w:pPr>
    </w:p>
    <w:p w14:paraId="24DDF028">
      <w:pPr>
        <w:widowControl/>
        <w:spacing w:line="360" w:lineRule="auto"/>
        <w:jc w:val="left"/>
        <w:rPr>
          <w:rFonts w:hAnsi="宋体" w:cs="宋体"/>
          <w:b/>
          <w:bCs/>
          <w:szCs w:val="24"/>
        </w:rPr>
      </w:pPr>
      <w:r>
        <w:rPr>
          <w:rFonts w:hAnsi="宋体" w:cs="宋体"/>
          <w:szCs w:val="24"/>
        </w:rPr>
        <w:br w:type="page"/>
      </w:r>
    </w:p>
    <w:p w14:paraId="7D1992E3">
      <w:pPr>
        <w:pStyle w:val="4"/>
        <w:spacing w:before="0" w:after="0" w:line="360" w:lineRule="auto"/>
        <w:jc w:val="center"/>
      </w:pPr>
      <w:bookmarkStart w:id="457" w:name="_Toc23813"/>
      <w:bookmarkStart w:id="458" w:name="_Toc23219"/>
      <w:bookmarkStart w:id="459" w:name="_Toc170477129"/>
      <w:r>
        <w:rPr>
          <w:rFonts w:hint="eastAsia"/>
        </w:rPr>
        <w:t>五、服务要求</w:t>
      </w:r>
      <w:bookmarkEnd w:id="457"/>
    </w:p>
    <w:p w14:paraId="1A8082D1">
      <w:pPr>
        <w:spacing w:line="360" w:lineRule="auto"/>
        <w:ind w:firstLine="723" w:firstLineChars="300"/>
        <w:rPr>
          <w:b/>
        </w:rPr>
      </w:pPr>
      <w:r>
        <w:rPr>
          <w:b/>
        </w:rPr>
        <w:t>供应商根据磋商文件第四章服务要求条款提供相关证明材料，格式自拟。</w:t>
      </w:r>
    </w:p>
    <w:p w14:paraId="5DE5268F">
      <w:pPr>
        <w:pStyle w:val="4"/>
        <w:spacing w:before="0" w:after="0" w:line="360" w:lineRule="auto"/>
        <w:jc w:val="center"/>
      </w:pPr>
    </w:p>
    <w:p w14:paraId="619A25C2">
      <w:pPr>
        <w:pStyle w:val="4"/>
        <w:spacing w:before="0" w:after="0" w:line="360" w:lineRule="auto"/>
        <w:jc w:val="center"/>
      </w:pPr>
    </w:p>
    <w:p w14:paraId="4E817282">
      <w:pPr>
        <w:pStyle w:val="4"/>
        <w:spacing w:before="0" w:after="0" w:line="360" w:lineRule="auto"/>
        <w:jc w:val="center"/>
      </w:pPr>
    </w:p>
    <w:p w14:paraId="47D510F0">
      <w:pPr>
        <w:pStyle w:val="4"/>
        <w:spacing w:before="0" w:after="0" w:line="360" w:lineRule="auto"/>
        <w:jc w:val="center"/>
      </w:pPr>
    </w:p>
    <w:p w14:paraId="7C16C045">
      <w:pPr>
        <w:pStyle w:val="4"/>
        <w:spacing w:before="0" w:after="0" w:line="360" w:lineRule="auto"/>
        <w:jc w:val="center"/>
      </w:pPr>
    </w:p>
    <w:p w14:paraId="051D34E7">
      <w:pPr>
        <w:pStyle w:val="4"/>
        <w:spacing w:before="0" w:after="0" w:line="360" w:lineRule="auto"/>
        <w:jc w:val="center"/>
      </w:pPr>
    </w:p>
    <w:p w14:paraId="16400792">
      <w:pPr>
        <w:pStyle w:val="4"/>
        <w:spacing w:before="0" w:after="0" w:line="360" w:lineRule="auto"/>
        <w:jc w:val="center"/>
      </w:pPr>
    </w:p>
    <w:p w14:paraId="1880B0E7">
      <w:pPr>
        <w:pStyle w:val="4"/>
        <w:spacing w:before="0" w:after="0" w:line="360" w:lineRule="auto"/>
        <w:jc w:val="center"/>
      </w:pPr>
    </w:p>
    <w:p w14:paraId="13FB0867">
      <w:pPr>
        <w:pStyle w:val="4"/>
        <w:spacing w:before="0" w:after="0" w:line="360" w:lineRule="auto"/>
        <w:jc w:val="center"/>
      </w:pPr>
    </w:p>
    <w:p w14:paraId="13F0D103">
      <w:pPr>
        <w:pStyle w:val="4"/>
        <w:spacing w:before="0" w:after="0" w:line="360" w:lineRule="auto"/>
        <w:jc w:val="center"/>
      </w:pPr>
    </w:p>
    <w:p w14:paraId="61112B5C">
      <w:pPr>
        <w:pStyle w:val="4"/>
        <w:spacing w:before="0" w:after="0" w:line="360" w:lineRule="auto"/>
        <w:jc w:val="center"/>
      </w:pPr>
    </w:p>
    <w:p w14:paraId="3D243154">
      <w:pPr>
        <w:pStyle w:val="4"/>
        <w:spacing w:before="0" w:after="0" w:line="360" w:lineRule="auto"/>
        <w:jc w:val="center"/>
      </w:pPr>
    </w:p>
    <w:p w14:paraId="574B55EC">
      <w:pPr>
        <w:pStyle w:val="4"/>
        <w:spacing w:before="0" w:after="0" w:line="360" w:lineRule="auto"/>
        <w:jc w:val="center"/>
      </w:pPr>
    </w:p>
    <w:p w14:paraId="7FD0C1D3">
      <w:pPr>
        <w:pStyle w:val="4"/>
        <w:spacing w:before="0" w:after="0" w:line="360" w:lineRule="auto"/>
        <w:jc w:val="center"/>
      </w:pPr>
    </w:p>
    <w:p w14:paraId="5902BC23">
      <w:pPr>
        <w:pStyle w:val="4"/>
        <w:spacing w:before="0" w:after="0" w:line="360" w:lineRule="auto"/>
        <w:jc w:val="center"/>
      </w:pPr>
    </w:p>
    <w:p w14:paraId="33BB56B9">
      <w:pPr>
        <w:pStyle w:val="4"/>
        <w:spacing w:before="0" w:after="0" w:line="360" w:lineRule="auto"/>
        <w:jc w:val="center"/>
      </w:pPr>
    </w:p>
    <w:p w14:paraId="5A62361E">
      <w:pPr>
        <w:pStyle w:val="4"/>
        <w:spacing w:before="0" w:after="0" w:line="360" w:lineRule="auto"/>
        <w:jc w:val="center"/>
      </w:pPr>
    </w:p>
    <w:p w14:paraId="579F2C06">
      <w:pPr>
        <w:pStyle w:val="4"/>
        <w:spacing w:before="0" w:after="0" w:line="360" w:lineRule="auto"/>
        <w:jc w:val="center"/>
      </w:pPr>
    </w:p>
    <w:p w14:paraId="4518A103">
      <w:pPr>
        <w:pStyle w:val="4"/>
        <w:spacing w:before="0" w:after="0" w:line="360" w:lineRule="auto"/>
        <w:jc w:val="center"/>
      </w:pPr>
    </w:p>
    <w:p w14:paraId="1C45FED1">
      <w:pPr>
        <w:pStyle w:val="4"/>
        <w:spacing w:before="0" w:after="0" w:line="360" w:lineRule="auto"/>
        <w:jc w:val="center"/>
      </w:pPr>
    </w:p>
    <w:p w14:paraId="00495EBB">
      <w:pPr>
        <w:pStyle w:val="4"/>
        <w:spacing w:before="0" w:after="0" w:line="360" w:lineRule="auto"/>
        <w:jc w:val="center"/>
      </w:pPr>
    </w:p>
    <w:p w14:paraId="50161852">
      <w:pPr>
        <w:pStyle w:val="4"/>
        <w:spacing w:before="0" w:after="0" w:line="360" w:lineRule="auto"/>
        <w:jc w:val="center"/>
      </w:pPr>
    </w:p>
    <w:p w14:paraId="7E145DD0">
      <w:pPr>
        <w:pStyle w:val="4"/>
        <w:spacing w:before="0" w:after="0" w:line="360" w:lineRule="auto"/>
        <w:jc w:val="center"/>
      </w:pPr>
      <w:r>
        <w:rPr>
          <w:rFonts w:hint="eastAsia"/>
        </w:rPr>
        <w:t>六、商务要求应答表</w:t>
      </w:r>
      <w:bookmarkEnd w:id="456"/>
      <w:bookmarkEnd w:id="458"/>
      <w:bookmarkEnd w:id="459"/>
    </w:p>
    <w:p w14:paraId="20B2FE0C">
      <w:pPr>
        <w:spacing w:line="360" w:lineRule="auto"/>
        <w:rPr>
          <w:rFonts w:hAnsi="宋体"/>
        </w:rPr>
      </w:pPr>
      <w:r>
        <w:rPr>
          <w:rFonts w:hint="eastAsia" w:hAnsi="宋体"/>
        </w:rPr>
        <w:t>采购项目名称：</w:t>
      </w:r>
      <w:r>
        <w:rPr>
          <w:rFonts w:hint="eastAsia" w:hAnsi="宋体"/>
          <w:u w:val="single"/>
        </w:rPr>
        <w:t xml:space="preserve">                                      </w:t>
      </w:r>
      <w:r>
        <w:rPr>
          <w:rFonts w:hint="eastAsia" w:hAnsi="宋体"/>
        </w:rPr>
        <w:t xml:space="preserve"> </w:t>
      </w:r>
    </w:p>
    <w:p w14:paraId="3AB54BD2">
      <w:pPr>
        <w:pStyle w:val="39"/>
        <w:jc w:val="left"/>
        <w:rPr>
          <w:rFonts w:hAnsi="宋体" w:cs="宋体"/>
        </w:rPr>
      </w:pPr>
      <w:r>
        <w:rPr>
          <w:rFonts w:hint="eastAsia" w:hAnsi="宋体"/>
        </w:rPr>
        <w:t>采购</w:t>
      </w:r>
      <w:r>
        <w:rPr>
          <w:rFonts w:hint="eastAsia" w:hAnsi="宋体" w:cs="宋体"/>
        </w:rPr>
        <w:t>文件编号：</w:t>
      </w:r>
      <w:r>
        <w:rPr>
          <w:rFonts w:hint="eastAsia" w:hAnsi="宋体" w:cs="宋体"/>
          <w:u w:val="single"/>
        </w:rPr>
        <w:t xml:space="preserve">     </w:t>
      </w:r>
      <w:r>
        <w:rPr>
          <w:rFonts w:hint="eastAsia" w:hAnsi="宋体"/>
          <w:u w:val="single"/>
        </w:rPr>
        <w:t xml:space="preserve">                                 </w:t>
      </w:r>
      <w:r>
        <w:rPr>
          <w:rFonts w:hint="eastAsia" w:hAnsi="宋体"/>
        </w:rPr>
        <w:t xml:space="preserve"> </w:t>
      </w:r>
    </w:p>
    <w:tbl>
      <w:tblPr>
        <w:tblStyle w:val="24"/>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550"/>
        <w:gridCol w:w="4110"/>
        <w:gridCol w:w="992"/>
      </w:tblGrid>
      <w:tr w14:paraId="39DA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129" w:type="dxa"/>
            <w:vAlign w:val="center"/>
          </w:tcPr>
          <w:p w14:paraId="28169EB5">
            <w:pPr>
              <w:spacing w:line="360" w:lineRule="auto"/>
              <w:jc w:val="center"/>
              <w:rPr>
                <w:rFonts w:cs="新宋体"/>
                <w:bCs/>
              </w:rPr>
            </w:pPr>
            <w:r>
              <w:rPr>
                <w:rFonts w:hint="eastAsia" w:cs="新宋体"/>
                <w:bCs/>
              </w:rPr>
              <w:t>序号</w:t>
            </w:r>
          </w:p>
        </w:tc>
        <w:tc>
          <w:tcPr>
            <w:tcW w:w="3550" w:type="dxa"/>
            <w:vAlign w:val="center"/>
          </w:tcPr>
          <w:p w14:paraId="30501E43">
            <w:pPr>
              <w:spacing w:line="360" w:lineRule="auto"/>
              <w:jc w:val="center"/>
              <w:rPr>
                <w:rFonts w:cs="新宋体"/>
                <w:bCs/>
              </w:rPr>
            </w:pPr>
            <w:r>
              <w:rPr>
                <w:rFonts w:hint="eastAsia" w:cs="新宋体"/>
                <w:bCs/>
              </w:rPr>
              <w:t>竞争性磋商文件第四章商务要求</w:t>
            </w:r>
          </w:p>
        </w:tc>
        <w:tc>
          <w:tcPr>
            <w:tcW w:w="4110" w:type="dxa"/>
            <w:vAlign w:val="center"/>
          </w:tcPr>
          <w:p w14:paraId="5F3C0009">
            <w:pPr>
              <w:spacing w:line="360" w:lineRule="auto"/>
              <w:jc w:val="center"/>
              <w:rPr>
                <w:rFonts w:cs="新宋体"/>
                <w:bCs/>
              </w:rPr>
            </w:pPr>
            <w:r>
              <w:rPr>
                <w:rFonts w:hint="eastAsia" w:cs="新宋体"/>
                <w:bCs/>
              </w:rPr>
              <w:t>响应文件响应</w:t>
            </w:r>
          </w:p>
        </w:tc>
        <w:tc>
          <w:tcPr>
            <w:tcW w:w="992" w:type="dxa"/>
            <w:vAlign w:val="center"/>
          </w:tcPr>
          <w:p w14:paraId="3B28BC5E">
            <w:pPr>
              <w:spacing w:line="360" w:lineRule="auto"/>
              <w:jc w:val="center"/>
              <w:rPr>
                <w:rFonts w:cs="新宋体"/>
                <w:bCs/>
              </w:rPr>
            </w:pPr>
            <w:r>
              <w:rPr>
                <w:rFonts w:cs="新宋体"/>
                <w:bCs/>
              </w:rPr>
              <w:t>备注</w:t>
            </w:r>
          </w:p>
        </w:tc>
      </w:tr>
      <w:tr w14:paraId="4321D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67CDD78">
            <w:pPr>
              <w:pStyle w:val="50"/>
              <w:spacing w:line="360" w:lineRule="auto"/>
              <w:ind w:firstLine="494"/>
              <w:rPr>
                <w:rFonts w:ascii="宋体" w:eastAsia="宋体" w:cs="新宋体"/>
                <w:bCs/>
                <w:sz w:val="24"/>
                <w:szCs w:val="24"/>
              </w:rPr>
            </w:pPr>
          </w:p>
        </w:tc>
        <w:tc>
          <w:tcPr>
            <w:tcW w:w="3550" w:type="dxa"/>
            <w:vAlign w:val="center"/>
          </w:tcPr>
          <w:p w14:paraId="47C52E1F">
            <w:pPr>
              <w:spacing w:line="360" w:lineRule="auto"/>
              <w:ind w:firstLine="720" w:firstLineChars="300"/>
              <w:jc w:val="center"/>
              <w:rPr>
                <w:rFonts w:cs="新宋体"/>
                <w:bCs/>
              </w:rPr>
            </w:pPr>
          </w:p>
        </w:tc>
        <w:tc>
          <w:tcPr>
            <w:tcW w:w="4110" w:type="dxa"/>
            <w:vAlign w:val="center"/>
          </w:tcPr>
          <w:p w14:paraId="1BFEF6EF">
            <w:pPr>
              <w:pStyle w:val="50"/>
              <w:spacing w:line="360" w:lineRule="auto"/>
              <w:ind w:firstLine="0" w:firstLineChars="0"/>
              <w:jc w:val="center"/>
              <w:rPr>
                <w:rFonts w:ascii="宋体" w:eastAsia="宋体" w:cs="新宋体"/>
                <w:bCs/>
                <w:sz w:val="24"/>
                <w:szCs w:val="24"/>
              </w:rPr>
            </w:pPr>
          </w:p>
        </w:tc>
        <w:tc>
          <w:tcPr>
            <w:tcW w:w="992" w:type="dxa"/>
            <w:vAlign w:val="center"/>
          </w:tcPr>
          <w:p w14:paraId="6E224CE2">
            <w:pPr>
              <w:pStyle w:val="50"/>
              <w:spacing w:line="360" w:lineRule="auto"/>
              <w:ind w:firstLine="0" w:firstLineChars="0"/>
              <w:jc w:val="center"/>
              <w:rPr>
                <w:rFonts w:ascii="宋体" w:eastAsia="宋体" w:cs="新宋体"/>
                <w:bCs/>
                <w:sz w:val="24"/>
                <w:szCs w:val="24"/>
              </w:rPr>
            </w:pPr>
          </w:p>
        </w:tc>
      </w:tr>
      <w:tr w14:paraId="182F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EA7C5CA">
            <w:pPr>
              <w:pStyle w:val="50"/>
              <w:spacing w:line="360" w:lineRule="auto"/>
              <w:ind w:firstLine="0" w:firstLineChars="0"/>
              <w:jc w:val="center"/>
              <w:rPr>
                <w:rFonts w:ascii="宋体" w:eastAsia="宋体" w:cs="新宋体"/>
                <w:bCs/>
                <w:sz w:val="24"/>
                <w:szCs w:val="24"/>
              </w:rPr>
            </w:pPr>
          </w:p>
        </w:tc>
        <w:tc>
          <w:tcPr>
            <w:tcW w:w="3550" w:type="dxa"/>
            <w:vAlign w:val="center"/>
          </w:tcPr>
          <w:p w14:paraId="207FAD60">
            <w:pPr>
              <w:spacing w:line="360" w:lineRule="auto"/>
              <w:ind w:firstLine="720" w:firstLineChars="300"/>
              <w:jc w:val="center"/>
              <w:rPr>
                <w:rFonts w:cs="新宋体"/>
                <w:bCs/>
              </w:rPr>
            </w:pPr>
          </w:p>
        </w:tc>
        <w:tc>
          <w:tcPr>
            <w:tcW w:w="4110" w:type="dxa"/>
            <w:vAlign w:val="center"/>
          </w:tcPr>
          <w:p w14:paraId="5F24C5B1">
            <w:pPr>
              <w:pStyle w:val="50"/>
              <w:spacing w:line="360" w:lineRule="auto"/>
              <w:ind w:firstLine="0" w:firstLineChars="0"/>
              <w:jc w:val="center"/>
              <w:rPr>
                <w:rFonts w:ascii="宋体" w:eastAsia="宋体" w:cs="新宋体"/>
                <w:bCs/>
                <w:sz w:val="24"/>
                <w:szCs w:val="24"/>
              </w:rPr>
            </w:pPr>
          </w:p>
        </w:tc>
        <w:tc>
          <w:tcPr>
            <w:tcW w:w="992" w:type="dxa"/>
            <w:vAlign w:val="center"/>
          </w:tcPr>
          <w:p w14:paraId="4366E8B8">
            <w:pPr>
              <w:pStyle w:val="50"/>
              <w:spacing w:line="360" w:lineRule="auto"/>
              <w:ind w:firstLine="0" w:firstLineChars="0"/>
              <w:jc w:val="center"/>
              <w:rPr>
                <w:rFonts w:ascii="宋体" w:eastAsia="宋体" w:cs="新宋体"/>
                <w:bCs/>
                <w:sz w:val="24"/>
                <w:szCs w:val="24"/>
              </w:rPr>
            </w:pPr>
          </w:p>
        </w:tc>
      </w:tr>
      <w:tr w14:paraId="71F6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801B35F">
            <w:pPr>
              <w:pStyle w:val="50"/>
              <w:spacing w:line="360" w:lineRule="auto"/>
              <w:ind w:firstLine="0" w:firstLineChars="0"/>
              <w:jc w:val="center"/>
              <w:rPr>
                <w:rFonts w:ascii="宋体" w:eastAsia="宋体" w:cs="新宋体"/>
                <w:bCs/>
                <w:sz w:val="24"/>
                <w:szCs w:val="24"/>
              </w:rPr>
            </w:pPr>
          </w:p>
        </w:tc>
        <w:tc>
          <w:tcPr>
            <w:tcW w:w="3550" w:type="dxa"/>
            <w:vAlign w:val="center"/>
          </w:tcPr>
          <w:p w14:paraId="73992DA9">
            <w:pPr>
              <w:spacing w:line="360" w:lineRule="auto"/>
              <w:ind w:firstLine="720" w:firstLineChars="300"/>
              <w:jc w:val="center"/>
              <w:rPr>
                <w:rFonts w:cs="新宋体"/>
                <w:bCs/>
              </w:rPr>
            </w:pPr>
          </w:p>
        </w:tc>
        <w:tc>
          <w:tcPr>
            <w:tcW w:w="4110" w:type="dxa"/>
            <w:vAlign w:val="center"/>
          </w:tcPr>
          <w:p w14:paraId="1DB1ACE2">
            <w:pPr>
              <w:pStyle w:val="50"/>
              <w:spacing w:line="360" w:lineRule="auto"/>
              <w:ind w:firstLine="0" w:firstLineChars="0"/>
              <w:jc w:val="center"/>
              <w:rPr>
                <w:rFonts w:ascii="宋体" w:eastAsia="宋体" w:cs="新宋体"/>
                <w:bCs/>
                <w:sz w:val="24"/>
                <w:szCs w:val="24"/>
              </w:rPr>
            </w:pPr>
          </w:p>
        </w:tc>
        <w:tc>
          <w:tcPr>
            <w:tcW w:w="992" w:type="dxa"/>
            <w:vAlign w:val="center"/>
          </w:tcPr>
          <w:p w14:paraId="6AF0FAAC">
            <w:pPr>
              <w:pStyle w:val="50"/>
              <w:spacing w:line="360" w:lineRule="auto"/>
              <w:ind w:firstLine="0" w:firstLineChars="0"/>
              <w:jc w:val="center"/>
              <w:rPr>
                <w:rFonts w:ascii="宋体" w:eastAsia="宋体" w:cs="新宋体"/>
                <w:bCs/>
                <w:sz w:val="24"/>
                <w:szCs w:val="24"/>
              </w:rPr>
            </w:pPr>
          </w:p>
        </w:tc>
      </w:tr>
      <w:tr w14:paraId="3AF7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2F9AF04">
            <w:pPr>
              <w:pStyle w:val="50"/>
              <w:spacing w:line="360" w:lineRule="auto"/>
              <w:ind w:firstLine="0" w:firstLineChars="0"/>
              <w:jc w:val="center"/>
              <w:rPr>
                <w:rFonts w:ascii="宋体" w:eastAsia="宋体" w:cs="新宋体"/>
                <w:bCs/>
                <w:sz w:val="24"/>
                <w:szCs w:val="24"/>
              </w:rPr>
            </w:pPr>
          </w:p>
        </w:tc>
        <w:tc>
          <w:tcPr>
            <w:tcW w:w="3550" w:type="dxa"/>
            <w:vAlign w:val="center"/>
          </w:tcPr>
          <w:p w14:paraId="2285812B">
            <w:pPr>
              <w:spacing w:line="360" w:lineRule="auto"/>
              <w:ind w:firstLine="480" w:firstLineChars="200"/>
              <w:jc w:val="center"/>
              <w:rPr>
                <w:rFonts w:cs="新宋体"/>
                <w:bCs/>
              </w:rPr>
            </w:pPr>
          </w:p>
        </w:tc>
        <w:tc>
          <w:tcPr>
            <w:tcW w:w="4110" w:type="dxa"/>
            <w:vAlign w:val="center"/>
          </w:tcPr>
          <w:p w14:paraId="27D3B51A">
            <w:pPr>
              <w:pStyle w:val="50"/>
              <w:spacing w:line="360" w:lineRule="auto"/>
              <w:ind w:firstLine="0" w:firstLineChars="0"/>
              <w:jc w:val="center"/>
              <w:rPr>
                <w:rFonts w:ascii="宋体" w:eastAsia="宋体" w:cs="新宋体"/>
                <w:bCs/>
                <w:sz w:val="24"/>
                <w:szCs w:val="24"/>
              </w:rPr>
            </w:pPr>
          </w:p>
        </w:tc>
        <w:tc>
          <w:tcPr>
            <w:tcW w:w="992" w:type="dxa"/>
            <w:vAlign w:val="center"/>
          </w:tcPr>
          <w:p w14:paraId="7F3E620A">
            <w:pPr>
              <w:pStyle w:val="50"/>
              <w:spacing w:line="360" w:lineRule="auto"/>
              <w:ind w:firstLine="0" w:firstLineChars="0"/>
              <w:jc w:val="center"/>
              <w:rPr>
                <w:rFonts w:ascii="宋体" w:eastAsia="宋体" w:cs="新宋体"/>
                <w:bCs/>
                <w:sz w:val="24"/>
                <w:szCs w:val="24"/>
              </w:rPr>
            </w:pPr>
          </w:p>
        </w:tc>
      </w:tr>
      <w:tr w14:paraId="4765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29" w:type="dxa"/>
            <w:vAlign w:val="center"/>
          </w:tcPr>
          <w:p w14:paraId="01D3EC47">
            <w:pPr>
              <w:pStyle w:val="50"/>
              <w:spacing w:line="360" w:lineRule="auto"/>
              <w:ind w:firstLine="0" w:firstLineChars="0"/>
              <w:jc w:val="center"/>
              <w:rPr>
                <w:rFonts w:ascii="宋体" w:eastAsia="宋体" w:cs="新宋体"/>
                <w:bCs/>
                <w:sz w:val="24"/>
                <w:szCs w:val="24"/>
              </w:rPr>
            </w:pPr>
          </w:p>
        </w:tc>
        <w:tc>
          <w:tcPr>
            <w:tcW w:w="3550" w:type="dxa"/>
            <w:vAlign w:val="center"/>
          </w:tcPr>
          <w:p w14:paraId="35249752">
            <w:pPr>
              <w:spacing w:line="360" w:lineRule="auto"/>
              <w:jc w:val="center"/>
              <w:rPr>
                <w:rFonts w:cs="新宋体"/>
                <w:bCs/>
              </w:rPr>
            </w:pPr>
          </w:p>
        </w:tc>
        <w:tc>
          <w:tcPr>
            <w:tcW w:w="4110" w:type="dxa"/>
            <w:vAlign w:val="center"/>
          </w:tcPr>
          <w:p w14:paraId="61FC48F4">
            <w:pPr>
              <w:pStyle w:val="50"/>
              <w:spacing w:line="360" w:lineRule="auto"/>
              <w:ind w:firstLine="0" w:firstLineChars="0"/>
              <w:jc w:val="center"/>
              <w:rPr>
                <w:rFonts w:ascii="宋体" w:eastAsia="宋体" w:cs="新宋体"/>
                <w:bCs/>
                <w:sz w:val="24"/>
                <w:szCs w:val="24"/>
              </w:rPr>
            </w:pPr>
          </w:p>
        </w:tc>
        <w:tc>
          <w:tcPr>
            <w:tcW w:w="992" w:type="dxa"/>
            <w:vAlign w:val="center"/>
          </w:tcPr>
          <w:p w14:paraId="4072129D">
            <w:pPr>
              <w:pStyle w:val="50"/>
              <w:spacing w:line="360" w:lineRule="auto"/>
              <w:ind w:firstLine="0" w:firstLineChars="0"/>
              <w:jc w:val="center"/>
              <w:rPr>
                <w:rFonts w:ascii="宋体" w:eastAsia="宋体" w:cs="新宋体"/>
                <w:bCs/>
                <w:sz w:val="24"/>
                <w:szCs w:val="24"/>
              </w:rPr>
            </w:pPr>
          </w:p>
        </w:tc>
      </w:tr>
      <w:tr w14:paraId="130D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0F9727E">
            <w:pPr>
              <w:pStyle w:val="50"/>
              <w:spacing w:line="360" w:lineRule="auto"/>
              <w:ind w:firstLine="0" w:firstLineChars="0"/>
              <w:jc w:val="center"/>
              <w:rPr>
                <w:rFonts w:ascii="宋体" w:eastAsia="宋体" w:cs="新宋体"/>
                <w:bCs/>
                <w:sz w:val="24"/>
                <w:szCs w:val="24"/>
              </w:rPr>
            </w:pPr>
          </w:p>
        </w:tc>
        <w:tc>
          <w:tcPr>
            <w:tcW w:w="3550" w:type="dxa"/>
            <w:vAlign w:val="center"/>
          </w:tcPr>
          <w:p w14:paraId="2AFD12FC">
            <w:pPr>
              <w:spacing w:line="360" w:lineRule="auto"/>
              <w:ind w:firstLine="480" w:firstLineChars="200"/>
              <w:jc w:val="center"/>
              <w:rPr>
                <w:rFonts w:cs="新宋体"/>
                <w:bCs/>
              </w:rPr>
            </w:pPr>
          </w:p>
        </w:tc>
        <w:tc>
          <w:tcPr>
            <w:tcW w:w="4110" w:type="dxa"/>
            <w:vAlign w:val="center"/>
          </w:tcPr>
          <w:p w14:paraId="1287C165">
            <w:pPr>
              <w:pStyle w:val="50"/>
              <w:spacing w:line="360" w:lineRule="auto"/>
              <w:ind w:firstLine="0" w:firstLineChars="0"/>
              <w:jc w:val="center"/>
              <w:rPr>
                <w:rFonts w:ascii="宋体" w:eastAsia="宋体" w:cs="新宋体"/>
                <w:bCs/>
                <w:sz w:val="24"/>
                <w:szCs w:val="24"/>
              </w:rPr>
            </w:pPr>
          </w:p>
        </w:tc>
        <w:tc>
          <w:tcPr>
            <w:tcW w:w="992" w:type="dxa"/>
            <w:vAlign w:val="center"/>
          </w:tcPr>
          <w:p w14:paraId="7269C400">
            <w:pPr>
              <w:pStyle w:val="50"/>
              <w:spacing w:line="360" w:lineRule="auto"/>
              <w:ind w:firstLine="0" w:firstLineChars="0"/>
              <w:jc w:val="center"/>
              <w:rPr>
                <w:rFonts w:ascii="宋体" w:eastAsia="宋体" w:cs="新宋体"/>
                <w:bCs/>
                <w:sz w:val="24"/>
                <w:szCs w:val="24"/>
              </w:rPr>
            </w:pPr>
          </w:p>
        </w:tc>
      </w:tr>
      <w:tr w14:paraId="407F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918F1B9">
            <w:pPr>
              <w:pStyle w:val="50"/>
              <w:spacing w:line="360" w:lineRule="auto"/>
              <w:ind w:firstLine="0" w:firstLineChars="0"/>
              <w:jc w:val="center"/>
              <w:rPr>
                <w:rFonts w:ascii="宋体" w:eastAsia="宋体" w:cs="新宋体"/>
                <w:bCs/>
                <w:sz w:val="24"/>
                <w:szCs w:val="24"/>
              </w:rPr>
            </w:pPr>
          </w:p>
        </w:tc>
        <w:tc>
          <w:tcPr>
            <w:tcW w:w="3550" w:type="dxa"/>
            <w:vAlign w:val="center"/>
          </w:tcPr>
          <w:p w14:paraId="1B328B72">
            <w:pPr>
              <w:spacing w:line="360" w:lineRule="auto"/>
              <w:ind w:firstLine="480" w:firstLineChars="200"/>
              <w:jc w:val="center"/>
              <w:rPr>
                <w:rFonts w:cs="新宋体"/>
                <w:bCs/>
              </w:rPr>
            </w:pPr>
          </w:p>
        </w:tc>
        <w:tc>
          <w:tcPr>
            <w:tcW w:w="4110" w:type="dxa"/>
            <w:vAlign w:val="center"/>
          </w:tcPr>
          <w:p w14:paraId="5C88FAAB">
            <w:pPr>
              <w:pStyle w:val="50"/>
              <w:spacing w:line="360" w:lineRule="auto"/>
              <w:ind w:firstLine="0" w:firstLineChars="0"/>
              <w:jc w:val="center"/>
              <w:rPr>
                <w:rFonts w:ascii="宋体" w:eastAsia="宋体" w:cs="新宋体"/>
                <w:bCs/>
                <w:sz w:val="24"/>
                <w:szCs w:val="24"/>
              </w:rPr>
            </w:pPr>
          </w:p>
        </w:tc>
        <w:tc>
          <w:tcPr>
            <w:tcW w:w="992" w:type="dxa"/>
            <w:vAlign w:val="center"/>
          </w:tcPr>
          <w:p w14:paraId="4F5F886C">
            <w:pPr>
              <w:pStyle w:val="50"/>
              <w:spacing w:line="360" w:lineRule="auto"/>
              <w:ind w:firstLine="0" w:firstLineChars="0"/>
              <w:jc w:val="center"/>
              <w:rPr>
                <w:rFonts w:ascii="宋体" w:eastAsia="宋体" w:cs="新宋体"/>
                <w:bCs/>
                <w:sz w:val="24"/>
                <w:szCs w:val="24"/>
              </w:rPr>
            </w:pPr>
          </w:p>
        </w:tc>
      </w:tr>
      <w:tr w14:paraId="509D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3B05BCB1">
            <w:pPr>
              <w:pStyle w:val="50"/>
              <w:spacing w:line="360" w:lineRule="auto"/>
              <w:ind w:firstLine="0" w:firstLineChars="0"/>
              <w:jc w:val="center"/>
              <w:rPr>
                <w:rFonts w:ascii="宋体" w:eastAsia="宋体"/>
                <w:sz w:val="21"/>
                <w:szCs w:val="21"/>
              </w:rPr>
            </w:pPr>
          </w:p>
        </w:tc>
        <w:tc>
          <w:tcPr>
            <w:tcW w:w="3550" w:type="dxa"/>
            <w:vAlign w:val="center"/>
          </w:tcPr>
          <w:p w14:paraId="7F41267E">
            <w:pPr>
              <w:pStyle w:val="50"/>
              <w:spacing w:line="360" w:lineRule="auto"/>
              <w:ind w:firstLine="0" w:firstLineChars="0"/>
              <w:jc w:val="center"/>
              <w:rPr>
                <w:rFonts w:ascii="宋体" w:eastAsia="宋体"/>
                <w:sz w:val="21"/>
                <w:szCs w:val="21"/>
              </w:rPr>
            </w:pPr>
          </w:p>
        </w:tc>
        <w:tc>
          <w:tcPr>
            <w:tcW w:w="4110" w:type="dxa"/>
            <w:vAlign w:val="center"/>
          </w:tcPr>
          <w:p w14:paraId="2F44DFD7">
            <w:pPr>
              <w:pStyle w:val="50"/>
              <w:spacing w:line="360" w:lineRule="auto"/>
              <w:ind w:firstLine="0" w:firstLineChars="0"/>
              <w:jc w:val="center"/>
              <w:rPr>
                <w:rFonts w:ascii="宋体" w:eastAsia="宋体"/>
                <w:sz w:val="21"/>
                <w:szCs w:val="21"/>
              </w:rPr>
            </w:pPr>
          </w:p>
        </w:tc>
        <w:tc>
          <w:tcPr>
            <w:tcW w:w="992" w:type="dxa"/>
            <w:vAlign w:val="center"/>
          </w:tcPr>
          <w:p w14:paraId="075FF718">
            <w:pPr>
              <w:pStyle w:val="50"/>
              <w:spacing w:line="360" w:lineRule="auto"/>
              <w:ind w:firstLine="0" w:firstLineChars="0"/>
              <w:jc w:val="center"/>
              <w:rPr>
                <w:rFonts w:ascii="宋体" w:eastAsia="宋体"/>
                <w:sz w:val="21"/>
                <w:szCs w:val="21"/>
              </w:rPr>
            </w:pPr>
          </w:p>
        </w:tc>
      </w:tr>
      <w:tr w14:paraId="3DC6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38147C2">
            <w:pPr>
              <w:pStyle w:val="50"/>
              <w:spacing w:line="360" w:lineRule="auto"/>
              <w:ind w:firstLine="0" w:firstLineChars="0"/>
              <w:jc w:val="center"/>
              <w:rPr>
                <w:rFonts w:ascii="宋体" w:eastAsia="宋体"/>
                <w:sz w:val="21"/>
                <w:szCs w:val="21"/>
              </w:rPr>
            </w:pPr>
          </w:p>
        </w:tc>
        <w:tc>
          <w:tcPr>
            <w:tcW w:w="3550" w:type="dxa"/>
            <w:vAlign w:val="center"/>
          </w:tcPr>
          <w:p w14:paraId="22592E68">
            <w:pPr>
              <w:pStyle w:val="50"/>
              <w:spacing w:line="360" w:lineRule="auto"/>
              <w:ind w:firstLine="0" w:firstLineChars="0"/>
              <w:jc w:val="center"/>
              <w:rPr>
                <w:rFonts w:ascii="宋体" w:eastAsia="宋体"/>
                <w:sz w:val="21"/>
                <w:szCs w:val="21"/>
              </w:rPr>
            </w:pPr>
          </w:p>
        </w:tc>
        <w:tc>
          <w:tcPr>
            <w:tcW w:w="4110" w:type="dxa"/>
            <w:vAlign w:val="center"/>
          </w:tcPr>
          <w:p w14:paraId="0A72D7E1">
            <w:pPr>
              <w:pStyle w:val="50"/>
              <w:spacing w:line="360" w:lineRule="auto"/>
              <w:ind w:firstLine="0" w:firstLineChars="0"/>
              <w:jc w:val="center"/>
              <w:rPr>
                <w:rFonts w:ascii="宋体" w:eastAsia="宋体"/>
                <w:sz w:val="21"/>
                <w:szCs w:val="21"/>
              </w:rPr>
            </w:pPr>
          </w:p>
        </w:tc>
        <w:tc>
          <w:tcPr>
            <w:tcW w:w="992" w:type="dxa"/>
            <w:vAlign w:val="center"/>
          </w:tcPr>
          <w:p w14:paraId="66C09F9F">
            <w:pPr>
              <w:pStyle w:val="50"/>
              <w:spacing w:line="360" w:lineRule="auto"/>
              <w:ind w:firstLine="0" w:firstLineChars="0"/>
              <w:jc w:val="center"/>
              <w:rPr>
                <w:rFonts w:ascii="宋体" w:eastAsia="宋体"/>
                <w:sz w:val="21"/>
                <w:szCs w:val="21"/>
              </w:rPr>
            </w:pPr>
          </w:p>
        </w:tc>
      </w:tr>
    </w:tbl>
    <w:p w14:paraId="29D25761">
      <w:pPr>
        <w:pStyle w:val="39"/>
        <w:jc w:val="left"/>
        <w:rPr>
          <w:rFonts w:hAnsi="宋体" w:cs="宋体"/>
        </w:rPr>
      </w:pPr>
      <w:r>
        <w:rPr>
          <w:rFonts w:hAnsi="宋体" w:cs="宋体"/>
        </w:rPr>
        <w:t xml:space="preserve"> </w:t>
      </w:r>
    </w:p>
    <w:p w14:paraId="643DA179">
      <w:pPr>
        <w:spacing w:line="360" w:lineRule="auto"/>
        <w:ind w:left="960" w:leftChars="200" w:hanging="480" w:hangingChars="200"/>
        <w:rPr>
          <w:rFonts w:hAnsi="宋体" w:cs="宋体"/>
          <w:szCs w:val="24"/>
        </w:rPr>
      </w:pPr>
      <w:r>
        <w:rPr>
          <w:rFonts w:hint="eastAsia" w:hAnsi="宋体" w:cs="宋体"/>
          <w:szCs w:val="24"/>
        </w:rPr>
        <w:t>注：1、商务应答应包括商务响应。</w:t>
      </w:r>
    </w:p>
    <w:p w14:paraId="4DDD97E0">
      <w:pPr>
        <w:spacing w:line="360" w:lineRule="auto"/>
        <w:ind w:left="960" w:leftChars="200" w:hanging="480" w:hangingChars="200"/>
        <w:rPr>
          <w:rFonts w:hAnsi="宋体" w:cs="宋体"/>
          <w:szCs w:val="24"/>
        </w:rPr>
      </w:pPr>
      <w:r>
        <w:rPr>
          <w:rFonts w:hint="eastAsia" w:hAnsi="宋体" w:cs="宋体"/>
          <w:szCs w:val="24"/>
        </w:rPr>
        <w:t xml:space="preserve">    2、供应商必须据实填写，不得虚假响应，否则将取消成交资格。</w:t>
      </w:r>
    </w:p>
    <w:p w14:paraId="6E77FF51">
      <w:pPr>
        <w:spacing w:line="360" w:lineRule="auto"/>
        <w:ind w:left="960" w:leftChars="400"/>
        <w:rPr>
          <w:rFonts w:hAnsi="宋体" w:cs="宋体"/>
          <w:szCs w:val="24"/>
        </w:rPr>
      </w:pPr>
      <w:r>
        <w:rPr>
          <w:rFonts w:hint="eastAsia" w:hAnsi="宋体" w:cs="宋体"/>
          <w:szCs w:val="24"/>
        </w:rPr>
        <w:t>3、此表可根据本次采购及供应商各自情况适当调整。</w:t>
      </w:r>
    </w:p>
    <w:p w14:paraId="33E177BB">
      <w:pPr>
        <w:pStyle w:val="8"/>
        <w:spacing w:line="360" w:lineRule="auto"/>
        <w:ind w:left="257"/>
        <w:rPr>
          <w:rFonts w:ascii="宋体" w:hAnsi="宋体" w:eastAsia="宋体" w:cs="宋体"/>
          <w:sz w:val="24"/>
          <w:szCs w:val="24"/>
        </w:rPr>
      </w:pPr>
    </w:p>
    <w:p w14:paraId="3B5312B7">
      <w:pPr>
        <w:spacing w:line="360" w:lineRule="auto"/>
        <w:ind w:firstLine="470" w:firstLineChars="196"/>
        <w:rPr>
          <w:rFonts w:hAnsi="宋体" w:cs="宋体"/>
          <w:szCs w:val="24"/>
        </w:rPr>
      </w:pPr>
      <w:r>
        <w:rPr>
          <w:rFonts w:hint="eastAsia" w:hAnsi="宋体" w:cs="宋体"/>
          <w:szCs w:val="24"/>
        </w:rPr>
        <w:t>供应商名称：（单位公章）</w:t>
      </w:r>
    </w:p>
    <w:p w14:paraId="093199FC">
      <w:pPr>
        <w:spacing w:line="360" w:lineRule="auto"/>
        <w:ind w:firstLine="470" w:firstLineChars="196"/>
        <w:rPr>
          <w:rFonts w:hAnsi="宋体" w:cs="宋体"/>
          <w:szCs w:val="24"/>
        </w:rPr>
      </w:pPr>
      <w:r>
        <w:rPr>
          <w:rFonts w:hint="eastAsia" w:hAnsi="宋体" w:cs="宋体"/>
          <w:szCs w:val="24"/>
        </w:rPr>
        <w:t>法定代表人或授权代理人（签字或盖章）：</w:t>
      </w:r>
    </w:p>
    <w:p w14:paraId="103044D3">
      <w:pPr>
        <w:spacing w:line="360" w:lineRule="auto"/>
        <w:ind w:firstLine="470" w:firstLineChars="196"/>
        <w:rPr>
          <w:rFonts w:hAnsi="宋体" w:cs="宋体"/>
          <w:szCs w:val="24"/>
        </w:rPr>
      </w:pPr>
      <w:r>
        <w:rPr>
          <w:rFonts w:hint="eastAsia" w:hAnsi="宋体" w:cs="宋体"/>
          <w:szCs w:val="24"/>
        </w:rPr>
        <w:t>日    期：</w:t>
      </w:r>
    </w:p>
    <w:p w14:paraId="4701FC05">
      <w:pPr>
        <w:pStyle w:val="8"/>
        <w:spacing w:line="360" w:lineRule="auto"/>
        <w:rPr>
          <w:rFonts w:ascii="宋体" w:hAnsi="宋体" w:eastAsia="宋体" w:cs="宋体"/>
          <w:sz w:val="24"/>
          <w:szCs w:val="24"/>
        </w:rPr>
      </w:pPr>
    </w:p>
    <w:p w14:paraId="53563D56">
      <w:pPr>
        <w:spacing w:line="360" w:lineRule="auto"/>
        <w:rPr>
          <w:rFonts w:hAnsi="宋体" w:cs="宋体"/>
          <w:szCs w:val="24"/>
        </w:rPr>
      </w:pPr>
    </w:p>
    <w:p w14:paraId="376B2529">
      <w:pPr>
        <w:widowControl/>
        <w:spacing w:line="360" w:lineRule="auto"/>
        <w:jc w:val="left"/>
        <w:rPr>
          <w:rFonts w:hAnsi="宋体" w:cs="宋体"/>
          <w:b/>
          <w:bCs/>
          <w:szCs w:val="24"/>
        </w:rPr>
      </w:pPr>
      <w:r>
        <w:rPr>
          <w:rFonts w:hAnsi="宋体" w:cs="宋体"/>
          <w:szCs w:val="24"/>
        </w:rPr>
        <w:br w:type="page"/>
      </w:r>
    </w:p>
    <w:p w14:paraId="1E2F3AC8">
      <w:pPr>
        <w:pStyle w:val="4"/>
        <w:spacing w:before="0" w:after="0" w:line="360" w:lineRule="auto"/>
        <w:jc w:val="center"/>
      </w:pPr>
      <w:bookmarkStart w:id="460" w:name="_Toc170477130"/>
      <w:bookmarkStart w:id="461" w:name="_Toc138168021"/>
      <w:bookmarkStart w:id="462" w:name="_Toc8063"/>
      <w:r>
        <w:rPr>
          <w:rFonts w:hint="eastAsia"/>
        </w:rPr>
        <w:t>七、供应商基本情况表</w:t>
      </w:r>
      <w:bookmarkEnd w:id="460"/>
      <w:bookmarkEnd w:id="461"/>
      <w:bookmarkEnd w:id="462"/>
    </w:p>
    <w:tbl>
      <w:tblPr>
        <w:tblStyle w:val="24"/>
        <w:tblW w:w="94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009"/>
        <w:gridCol w:w="89"/>
        <w:gridCol w:w="1110"/>
        <w:gridCol w:w="1231"/>
        <w:gridCol w:w="1793"/>
        <w:gridCol w:w="800"/>
        <w:gridCol w:w="1682"/>
      </w:tblGrid>
      <w:tr w14:paraId="218970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86" w:type="dxa"/>
            <w:vAlign w:val="center"/>
          </w:tcPr>
          <w:p w14:paraId="04E07FC0">
            <w:pPr>
              <w:autoSpaceDE w:val="0"/>
              <w:autoSpaceDN w:val="0"/>
              <w:adjustRightInd w:val="0"/>
              <w:spacing w:line="360" w:lineRule="auto"/>
              <w:jc w:val="center"/>
              <w:rPr>
                <w:rFonts w:hAnsi="宋体" w:cs="宋体"/>
                <w:szCs w:val="24"/>
              </w:rPr>
            </w:pPr>
            <w:r>
              <w:rPr>
                <w:rFonts w:hint="eastAsia" w:hAnsi="宋体" w:cs="宋体"/>
                <w:szCs w:val="24"/>
              </w:rPr>
              <w:t>供应商名称</w:t>
            </w:r>
          </w:p>
        </w:tc>
        <w:tc>
          <w:tcPr>
            <w:tcW w:w="7714" w:type="dxa"/>
            <w:gridSpan w:val="7"/>
            <w:vAlign w:val="center"/>
          </w:tcPr>
          <w:p w14:paraId="60E8A370">
            <w:pPr>
              <w:autoSpaceDE w:val="0"/>
              <w:autoSpaceDN w:val="0"/>
              <w:adjustRightInd w:val="0"/>
              <w:spacing w:line="360" w:lineRule="auto"/>
              <w:jc w:val="center"/>
              <w:rPr>
                <w:rFonts w:hAnsi="宋体" w:cs="宋体"/>
                <w:szCs w:val="24"/>
              </w:rPr>
            </w:pPr>
          </w:p>
        </w:tc>
      </w:tr>
      <w:tr w14:paraId="006034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86" w:type="dxa"/>
            <w:vAlign w:val="center"/>
          </w:tcPr>
          <w:p w14:paraId="3AF4CDD0">
            <w:pPr>
              <w:autoSpaceDE w:val="0"/>
              <w:autoSpaceDN w:val="0"/>
              <w:adjustRightInd w:val="0"/>
              <w:spacing w:line="360" w:lineRule="auto"/>
              <w:jc w:val="center"/>
              <w:rPr>
                <w:rFonts w:hAnsi="宋体" w:cs="宋体"/>
                <w:szCs w:val="24"/>
              </w:rPr>
            </w:pPr>
            <w:r>
              <w:rPr>
                <w:rFonts w:hint="eastAsia" w:hAnsi="宋体" w:cs="宋体"/>
                <w:szCs w:val="24"/>
              </w:rPr>
              <w:t>注册地址</w:t>
            </w:r>
          </w:p>
        </w:tc>
        <w:tc>
          <w:tcPr>
            <w:tcW w:w="3439" w:type="dxa"/>
            <w:gridSpan w:val="4"/>
            <w:vAlign w:val="center"/>
          </w:tcPr>
          <w:p w14:paraId="263925A3">
            <w:pPr>
              <w:autoSpaceDE w:val="0"/>
              <w:autoSpaceDN w:val="0"/>
              <w:adjustRightInd w:val="0"/>
              <w:spacing w:line="360" w:lineRule="auto"/>
              <w:jc w:val="center"/>
              <w:rPr>
                <w:rFonts w:hAnsi="宋体" w:cs="宋体"/>
                <w:szCs w:val="24"/>
              </w:rPr>
            </w:pPr>
          </w:p>
        </w:tc>
        <w:tc>
          <w:tcPr>
            <w:tcW w:w="1793" w:type="dxa"/>
            <w:vAlign w:val="center"/>
          </w:tcPr>
          <w:p w14:paraId="0BBB8ACC">
            <w:pPr>
              <w:autoSpaceDE w:val="0"/>
              <w:autoSpaceDN w:val="0"/>
              <w:adjustRightInd w:val="0"/>
              <w:spacing w:line="360" w:lineRule="auto"/>
              <w:jc w:val="center"/>
              <w:rPr>
                <w:rFonts w:hAnsi="宋体" w:cs="宋体"/>
                <w:szCs w:val="24"/>
              </w:rPr>
            </w:pPr>
            <w:r>
              <w:rPr>
                <w:rFonts w:hint="eastAsia" w:hAnsi="宋体" w:cs="宋体"/>
                <w:szCs w:val="24"/>
              </w:rPr>
              <w:t>邮政编码</w:t>
            </w:r>
          </w:p>
        </w:tc>
        <w:tc>
          <w:tcPr>
            <w:tcW w:w="2482" w:type="dxa"/>
            <w:gridSpan w:val="2"/>
            <w:vAlign w:val="center"/>
          </w:tcPr>
          <w:p w14:paraId="29B1E2F5">
            <w:pPr>
              <w:autoSpaceDE w:val="0"/>
              <w:autoSpaceDN w:val="0"/>
              <w:adjustRightInd w:val="0"/>
              <w:spacing w:line="360" w:lineRule="auto"/>
              <w:jc w:val="center"/>
              <w:rPr>
                <w:rFonts w:hAnsi="宋体" w:cs="宋体"/>
                <w:szCs w:val="24"/>
              </w:rPr>
            </w:pPr>
          </w:p>
        </w:tc>
      </w:tr>
      <w:tr w14:paraId="76463B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86" w:type="dxa"/>
            <w:vMerge w:val="restart"/>
            <w:vAlign w:val="center"/>
          </w:tcPr>
          <w:p w14:paraId="5FD1DB13">
            <w:pPr>
              <w:autoSpaceDE w:val="0"/>
              <w:autoSpaceDN w:val="0"/>
              <w:adjustRightInd w:val="0"/>
              <w:spacing w:line="360" w:lineRule="auto"/>
              <w:jc w:val="center"/>
              <w:rPr>
                <w:rFonts w:hAnsi="宋体" w:cs="宋体"/>
                <w:szCs w:val="24"/>
              </w:rPr>
            </w:pPr>
            <w:r>
              <w:rPr>
                <w:rFonts w:hint="eastAsia" w:hAnsi="宋体" w:cs="宋体"/>
                <w:szCs w:val="24"/>
              </w:rPr>
              <w:t>联系方式</w:t>
            </w:r>
          </w:p>
        </w:tc>
        <w:tc>
          <w:tcPr>
            <w:tcW w:w="1098" w:type="dxa"/>
            <w:gridSpan w:val="2"/>
            <w:vAlign w:val="center"/>
          </w:tcPr>
          <w:p w14:paraId="5EAB17FF">
            <w:pPr>
              <w:autoSpaceDE w:val="0"/>
              <w:autoSpaceDN w:val="0"/>
              <w:adjustRightInd w:val="0"/>
              <w:spacing w:line="360" w:lineRule="auto"/>
              <w:jc w:val="center"/>
              <w:rPr>
                <w:rFonts w:hAnsi="宋体" w:cs="宋体"/>
                <w:szCs w:val="24"/>
              </w:rPr>
            </w:pPr>
            <w:r>
              <w:rPr>
                <w:rFonts w:hint="eastAsia" w:hAnsi="宋体" w:cs="宋体"/>
                <w:szCs w:val="24"/>
              </w:rPr>
              <w:t>联系人</w:t>
            </w:r>
          </w:p>
        </w:tc>
        <w:tc>
          <w:tcPr>
            <w:tcW w:w="2341" w:type="dxa"/>
            <w:gridSpan w:val="2"/>
            <w:vAlign w:val="center"/>
          </w:tcPr>
          <w:p w14:paraId="236EB9FF">
            <w:pPr>
              <w:autoSpaceDE w:val="0"/>
              <w:autoSpaceDN w:val="0"/>
              <w:adjustRightInd w:val="0"/>
              <w:spacing w:line="360" w:lineRule="auto"/>
              <w:jc w:val="center"/>
              <w:rPr>
                <w:rFonts w:hAnsi="宋体" w:cs="宋体"/>
                <w:szCs w:val="24"/>
              </w:rPr>
            </w:pPr>
          </w:p>
        </w:tc>
        <w:tc>
          <w:tcPr>
            <w:tcW w:w="1793" w:type="dxa"/>
            <w:vAlign w:val="center"/>
          </w:tcPr>
          <w:p w14:paraId="5506F352">
            <w:pPr>
              <w:autoSpaceDE w:val="0"/>
              <w:autoSpaceDN w:val="0"/>
              <w:adjustRightInd w:val="0"/>
              <w:spacing w:line="360" w:lineRule="auto"/>
              <w:jc w:val="center"/>
              <w:rPr>
                <w:rFonts w:hAnsi="宋体" w:cs="宋体"/>
                <w:szCs w:val="24"/>
              </w:rPr>
            </w:pPr>
            <w:r>
              <w:rPr>
                <w:rFonts w:hint="eastAsia" w:hAnsi="宋体" w:cs="宋体"/>
                <w:szCs w:val="24"/>
              </w:rPr>
              <w:t>电话</w:t>
            </w:r>
          </w:p>
        </w:tc>
        <w:tc>
          <w:tcPr>
            <w:tcW w:w="2482" w:type="dxa"/>
            <w:gridSpan w:val="2"/>
            <w:vAlign w:val="center"/>
          </w:tcPr>
          <w:p w14:paraId="37D9ED81">
            <w:pPr>
              <w:autoSpaceDE w:val="0"/>
              <w:autoSpaceDN w:val="0"/>
              <w:adjustRightInd w:val="0"/>
              <w:spacing w:line="360" w:lineRule="auto"/>
              <w:jc w:val="center"/>
              <w:rPr>
                <w:rFonts w:hAnsi="宋体" w:cs="宋体"/>
                <w:szCs w:val="24"/>
              </w:rPr>
            </w:pPr>
          </w:p>
        </w:tc>
      </w:tr>
      <w:tr w14:paraId="04E847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686" w:type="dxa"/>
            <w:vMerge w:val="continue"/>
            <w:vAlign w:val="center"/>
          </w:tcPr>
          <w:p w14:paraId="06010FA2">
            <w:pPr>
              <w:spacing w:line="360" w:lineRule="auto"/>
              <w:rPr>
                <w:rFonts w:hAnsi="宋体" w:cs="宋体"/>
                <w:szCs w:val="24"/>
              </w:rPr>
            </w:pPr>
          </w:p>
        </w:tc>
        <w:tc>
          <w:tcPr>
            <w:tcW w:w="1098" w:type="dxa"/>
            <w:gridSpan w:val="2"/>
            <w:vAlign w:val="center"/>
          </w:tcPr>
          <w:p w14:paraId="0DB81497">
            <w:pPr>
              <w:autoSpaceDE w:val="0"/>
              <w:autoSpaceDN w:val="0"/>
              <w:adjustRightInd w:val="0"/>
              <w:spacing w:line="360" w:lineRule="auto"/>
              <w:jc w:val="center"/>
              <w:rPr>
                <w:rFonts w:hAnsi="宋体" w:cs="宋体"/>
                <w:szCs w:val="24"/>
              </w:rPr>
            </w:pPr>
            <w:r>
              <w:rPr>
                <w:rFonts w:hint="eastAsia" w:hAnsi="宋体" w:cs="宋体"/>
                <w:szCs w:val="24"/>
              </w:rPr>
              <w:t>传真</w:t>
            </w:r>
          </w:p>
        </w:tc>
        <w:tc>
          <w:tcPr>
            <w:tcW w:w="2341" w:type="dxa"/>
            <w:gridSpan w:val="2"/>
            <w:vAlign w:val="center"/>
          </w:tcPr>
          <w:p w14:paraId="1A65E002">
            <w:pPr>
              <w:autoSpaceDE w:val="0"/>
              <w:autoSpaceDN w:val="0"/>
              <w:adjustRightInd w:val="0"/>
              <w:spacing w:line="360" w:lineRule="auto"/>
              <w:jc w:val="center"/>
              <w:rPr>
                <w:rFonts w:hAnsi="宋体" w:cs="宋体"/>
                <w:szCs w:val="24"/>
              </w:rPr>
            </w:pPr>
          </w:p>
        </w:tc>
        <w:tc>
          <w:tcPr>
            <w:tcW w:w="1793" w:type="dxa"/>
            <w:vAlign w:val="center"/>
          </w:tcPr>
          <w:p w14:paraId="405B2BCD">
            <w:pPr>
              <w:autoSpaceDE w:val="0"/>
              <w:autoSpaceDN w:val="0"/>
              <w:adjustRightInd w:val="0"/>
              <w:spacing w:line="360" w:lineRule="auto"/>
              <w:jc w:val="center"/>
              <w:rPr>
                <w:rFonts w:hAnsi="宋体" w:cs="宋体"/>
                <w:szCs w:val="24"/>
              </w:rPr>
            </w:pPr>
            <w:r>
              <w:rPr>
                <w:rFonts w:hint="eastAsia" w:hAnsi="宋体" w:cs="宋体"/>
                <w:szCs w:val="24"/>
              </w:rPr>
              <w:t>网址</w:t>
            </w:r>
          </w:p>
        </w:tc>
        <w:tc>
          <w:tcPr>
            <w:tcW w:w="2482" w:type="dxa"/>
            <w:gridSpan w:val="2"/>
            <w:vAlign w:val="center"/>
          </w:tcPr>
          <w:p w14:paraId="6BF1C35B">
            <w:pPr>
              <w:autoSpaceDE w:val="0"/>
              <w:autoSpaceDN w:val="0"/>
              <w:adjustRightInd w:val="0"/>
              <w:spacing w:line="360" w:lineRule="auto"/>
              <w:jc w:val="center"/>
              <w:rPr>
                <w:rFonts w:hAnsi="宋体" w:cs="宋体"/>
                <w:szCs w:val="24"/>
              </w:rPr>
            </w:pPr>
          </w:p>
        </w:tc>
      </w:tr>
      <w:tr w14:paraId="4CEBA9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86" w:type="dxa"/>
            <w:vAlign w:val="center"/>
          </w:tcPr>
          <w:p w14:paraId="72B17896">
            <w:pPr>
              <w:autoSpaceDE w:val="0"/>
              <w:autoSpaceDN w:val="0"/>
              <w:adjustRightInd w:val="0"/>
              <w:spacing w:line="360" w:lineRule="auto"/>
              <w:jc w:val="center"/>
              <w:rPr>
                <w:rFonts w:hAnsi="宋体" w:cs="宋体"/>
                <w:szCs w:val="24"/>
              </w:rPr>
            </w:pPr>
            <w:r>
              <w:rPr>
                <w:rFonts w:hint="eastAsia" w:hAnsi="宋体" w:cs="宋体"/>
                <w:szCs w:val="24"/>
              </w:rPr>
              <w:t>组织结构</w:t>
            </w:r>
          </w:p>
        </w:tc>
        <w:tc>
          <w:tcPr>
            <w:tcW w:w="7714" w:type="dxa"/>
            <w:gridSpan w:val="7"/>
            <w:vAlign w:val="center"/>
          </w:tcPr>
          <w:p w14:paraId="20800CB8">
            <w:pPr>
              <w:autoSpaceDE w:val="0"/>
              <w:autoSpaceDN w:val="0"/>
              <w:adjustRightInd w:val="0"/>
              <w:spacing w:line="360" w:lineRule="auto"/>
              <w:jc w:val="center"/>
              <w:rPr>
                <w:rFonts w:hAnsi="宋体" w:cs="宋体"/>
                <w:szCs w:val="24"/>
              </w:rPr>
            </w:pPr>
          </w:p>
        </w:tc>
      </w:tr>
      <w:tr w14:paraId="658B7C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686" w:type="dxa"/>
            <w:vAlign w:val="center"/>
          </w:tcPr>
          <w:p w14:paraId="2720ACFB">
            <w:pPr>
              <w:autoSpaceDE w:val="0"/>
              <w:autoSpaceDN w:val="0"/>
              <w:adjustRightInd w:val="0"/>
              <w:spacing w:line="360" w:lineRule="auto"/>
              <w:jc w:val="center"/>
              <w:rPr>
                <w:rFonts w:hAnsi="宋体" w:cs="宋体"/>
                <w:szCs w:val="24"/>
              </w:rPr>
            </w:pPr>
            <w:r>
              <w:rPr>
                <w:rFonts w:hint="eastAsia" w:hAnsi="宋体" w:cs="宋体"/>
                <w:szCs w:val="24"/>
              </w:rPr>
              <w:t>法定代表人</w:t>
            </w:r>
          </w:p>
        </w:tc>
        <w:tc>
          <w:tcPr>
            <w:tcW w:w="1009" w:type="dxa"/>
            <w:vAlign w:val="center"/>
          </w:tcPr>
          <w:p w14:paraId="4B9971F3">
            <w:pPr>
              <w:autoSpaceDE w:val="0"/>
              <w:autoSpaceDN w:val="0"/>
              <w:adjustRightInd w:val="0"/>
              <w:spacing w:line="360" w:lineRule="auto"/>
              <w:jc w:val="center"/>
              <w:rPr>
                <w:rFonts w:hAnsi="宋体" w:cs="宋体"/>
                <w:szCs w:val="24"/>
              </w:rPr>
            </w:pPr>
            <w:r>
              <w:rPr>
                <w:rFonts w:hint="eastAsia" w:hAnsi="宋体" w:cs="宋体"/>
                <w:szCs w:val="24"/>
              </w:rPr>
              <w:t>姓名</w:t>
            </w:r>
          </w:p>
        </w:tc>
        <w:tc>
          <w:tcPr>
            <w:tcW w:w="1199" w:type="dxa"/>
            <w:gridSpan w:val="2"/>
            <w:vAlign w:val="center"/>
          </w:tcPr>
          <w:p w14:paraId="496ECD28">
            <w:pPr>
              <w:autoSpaceDE w:val="0"/>
              <w:autoSpaceDN w:val="0"/>
              <w:adjustRightInd w:val="0"/>
              <w:spacing w:line="360" w:lineRule="auto"/>
              <w:jc w:val="center"/>
              <w:rPr>
                <w:rFonts w:hAnsi="宋体" w:cs="宋体"/>
                <w:szCs w:val="24"/>
              </w:rPr>
            </w:pPr>
          </w:p>
        </w:tc>
        <w:tc>
          <w:tcPr>
            <w:tcW w:w="1231" w:type="dxa"/>
            <w:vAlign w:val="center"/>
          </w:tcPr>
          <w:p w14:paraId="754C9376">
            <w:pPr>
              <w:autoSpaceDE w:val="0"/>
              <w:autoSpaceDN w:val="0"/>
              <w:adjustRightInd w:val="0"/>
              <w:spacing w:line="360" w:lineRule="auto"/>
              <w:jc w:val="center"/>
              <w:rPr>
                <w:rFonts w:hAnsi="宋体" w:cs="宋体"/>
                <w:szCs w:val="24"/>
              </w:rPr>
            </w:pPr>
            <w:r>
              <w:rPr>
                <w:rFonts w:hint="eastAsia" w:hAnsi="宋体" w:cs="宋体"/>
                <w:szCs w:val="24"/>
              </w:rPr>
              <w:t>技术职称</w:t>
            </w:r>
          </w:p>
        </w:tc>
        <w:tc>
          <w:tcPr>
            <w:tcW w:w="1793" w:type="dxa"/>
            <w:vAlign w:val="center"/>
          </w:tcPr>
          <w:p w14:paraId="59F42A9B">
            <w:pPr>
              <w:autoSpaceDE w:val="0"/>
              <w:autoSpaceDN w:val="0"/>
              <w:adjustRightInd w:val="0"/>
              <w:spacing w:line="360" w:lineRule="auto"/>
              <w:jc w:val="center"/>
              <w:rPr>
                <w:rFonts w:hAnsi="宋体" w:cs="宋体"/>
                <w:szCs w:val="24"/>
              </w:rPr>
            </w:pPr>
          </w:p>
        </w:tc>
        <w:tc>
          <w:tcPr>
            <w:tcW w:w="800" w:type="dxa"/>
            <w:vAlign w:val="center"/>
          </w:tcPr>
          <w:p w14:paraId="6DEDB6E6">
            <w:pPr>
              <w:autoSpaceDE w:val="0"/>
              <w:autoSpaceDN w:val="0"/>
              <w:adjustRightInd w:val="0"/>
              <w:spacing w:line="360" w:lineRule="auto"/>
              <w:jc w:val="center"/>
              <w:rPr>
                <w:rFonts w:hAnsi="宋体" w:cs="宋体"/>
                <w:szCs w:val="24"/>
              </w:rPr>
            </w:pPr>
            <w:r>
              <w:rPr>
                <w:rFonts w:hint="eastAsia" w:hAnsi="宋体" w:cs="宋体"/>
                <w:szCs w:val="24"/>
              </w:rPr>
              <w:t>电话</w:t>
            </w:r>
          </w:p>
        </w:tc>
        <w:tc>
          <w:tcPr>
            <w:tcW w:w="1682" w:type="dxa"/>
            <w:vAlign w:val="center"/>
          </w:tcPr>
          <w:p w14:paraId="7509EE27">
            <w:pPr>
              <w:autoSpaceDE w:val="0"/>
              <w:autoSpaceDN w:val="0"/>
              <w:adjustRightInd w:val="0"/>
              <w:spacing w:line="360" w:lineRule="auto"/>
              <w:jc w:val="center"/>
              <w:rPr>
                <w:rFonts w:hAnsi="宋体" w:cs="宋体"/>
                <w:b/>
                <w:bCs/>
                <w:szCs w:val="24"/>
              </w:rPr>
            </w:pPr>
          </w:p>
        </w:tc>
      </w:tr>
      <w:tr w14:paraId="5D5FF0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686" w:type="dxa"/>
            <w:vAlign w:val="center"/>
          </w:tcPr>
          <w:p w14:paraId="5771F5E8">
            <w:pPr>
              <w:autoSpaceDE w:val="0"/>
              <w:autoSpaceDN w:val="0"/>
              <w:adjustRightInd w:val="0"/>
              <w:spacing w:line="360" w:lineRule="auto"/>
              <w:jc w:val="center"/>
              <w:rPr>
                <w:rFonts w:hAnsi="宋体" w:cs="宋体"/>
                <w:szCs w:val="24"/>
              </w:rPr>
            </w:pPr>
            <w:r>
              <w:rPr>
                <w:rFonts w:hint="eastAsia" w:hAnsi="宋体" w:cs="宋体"/>
                <w:szCs w:val="24"/>
              </w:rPr>
              <w:t>技术负责人</w:t>
            </w:r>
          </w:p>
        </w:tc>
        <w:tc>
          <w:tcPr>
            <w:tcW w:w="1009" w:type="dxa"/>
            <w:vAlign w:val="center"/>
          </w:tcPr>
          <w:p w14:paraId="03D4E83F">
            <w:pPr>
              <w:autoSpaceDE w:val="0"/>
              <w:autoSpaceDN w:val="0"/>
              <w:adjustRightInd w:val="0"/>
              <w:spacing w:line="360" w:lineRule="auto"/>
              <w:jc w:val="center"/>
              <w:rPr>
                <w:rFonts w:hAnsi="宋体" w:cs="宋体"/>
                <w:szCs w:val="24"/>
              </w:rPr>
            </w:pPr>
            <w:r>
              <w:rPr>
                <w:rFonts w:hint="eastAsia" w:hAnsi="宋体" w:cs="宋体"/>
                <w:szCs w:val="24"/>
              </w:rPr>
              <w:t>姓名</w:t>
            </w:r>
          </w:p>
        </w:tc>
        <w:tc>
          <w:tcPr>
            <w:tcW w:w="1199" w:type="dxa"/>
            <w:gridSpan w:val="2"/>
            <w:vAlign w:val="center"/>
          </w:tcPr>
          <w:p w14:paraId="160C33D6">
            <w:pPr>
              <w:autoSpaceDE w:val="0"/>
              <w:autoSpaceDN w:val="0"/>
              <w:adjustRightInd w:val="0"/>
              <w:spacing w:line="360" w:lineRule="auto"/>
              <w:jc w:val="center"/>
              <w:rPr>
                <w:rFonts w:hAnsi="宋体" w:cs="宋体"/>
                <w:szCs w:val="24"/>
              </w:rPr>
            </w:pPr>
          </w:p>
        </w:tc>
        <w:tc>
          <w:tcPr>
            <w:tcW w:w="1231" w:type="dxa"/>
            <w:vAlign w:val="center"/>
          </w:tcPr>
          <w:p w14:paraId="1A7C8370">
            <w:pPr>
              <w:autoSpaceDE w:val="0"/>
              <w:autoSpaceDN w:val="0"/>
              <w:adjustRightInd w:val="0"/>
              <w:spacing w:line="360" w:lineRule="auto"/>
              <w:jc w:val="center"/>
              <w:rPr>
                <w:rFonts w:hAnsi="宋体" w:cs="宋体"/>
                <w:szCs w:val="24"/>
              </w:rPr>
            </w:pPr>
            <w:r>
              <w:rPr>
                <w:rFonts w:hint="eastAsia" w:hAnsi="宋体" w:cs="宋体"/>
                <w:szCs w:val="24"/>
              </w:rPr>
              <w:t>技术职称</w:t>
            </w:r>
          </w:p>
        </w:tc>
        <w:tc>
          <w:tcPr>
            <w:tcW w:w="1793" w:type="dxa"/>
            <w:vAlign w:val="center"/>
          </w:tcPr>
          <w:p w14:paraId="4F798013">
            <w:pPr>
              <w:autoSpaceDE w:val="0"/>
              <w:autoSpaceDN w:val="0"/>
              <w:adjustRightInd w:val="0"/>
              <w:spacing w:line="360" w:lineRule="auto"/>
              <w:jc w:val="center"/>
              <w:rPr>
                <w:rFonts w:hAnsi="宋体" w:cs="宋体"/>
                <w:szCs w:val="24"/>
              </w:rPr>
            </w:pPr>
          </w:p>
        </w:tc>
        <w:tc>
          <w:tcPr>
            <w:tcW w:w="800" w:type="dxa"/>
            <w:vAlign w:val="center"/>
          </w:tcPr>
          <w:p w14:paraId="38D569AD">
            <w:pPr>
              <w:autoSpaceDE w:val="0"/>
              <w:autoSpaceDN w:val="0"/>
              <w:adjustRightInd w:val="0"/>
              <w:spacing w:line="360" w:lineRule="auto"/>
              <w:jc w:val="center"/>
              <w:rPr>
                <w:rFonts w:hAnsi="宋体" w:cs="宋体"/>
                <w:szCs w:val="24"/>
              </w:rPr>
            </w:pPr>
            <w:r>
              <w:rPr>
                <w:rFonts w:hint="eastAsia" w:hAnsi="宋体" w:cs="宋体"/>
                <w:szCs w:val="24"/>
              </w:rPr>
              <w:t>电话</w:t>
            </w:r>
          </w:p>
        </w:tc>
        <w:tc>
          <w:tcPr>
            <w:tcW w:w="1682" w:type="dxa"/>
            <w:vAlign w:val="center"/>
          </w:tcPr>
          <w:p w14:paraId="54550C96">
            <w:pPr>
              <w:autoSpaceDE w:val="0"/>
              <w:autoSpaceDN w:val="0"/>
              <w:adjustRightInd w:val="0"/>
              <w:spacing w:line="360" w:lineRule="auto"/>
              <w:jc w:val="center"/>
              <w:rPr>
                <w:rFonts w:hAnsi="宋体" w:cs="宋体"/>
                <w:b/>
                <w:bCs/>
                <w:szCs w:val="24"/>
              </w:rPr>
            </w:pPr>
          </w:p>
        </w:tc>
      </w:tr>
      <w:tr w14:paraId="205F6C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86" w:type="dxa"/>
            <w:vAlign w:val="center"/>
          </w:tcPr>
          <w:p w14:paraId="6C95958B">
            <w:pPr>
              <w:autoSpaceDE w:val="0"/>
              <w:autoSpaceDN w:val="0"/>
              <w:adjustRightInd w:val="0"/>
              <w:spacing w:line="360" w:lineRule="auto"/>
              <w:jc w:val="center"/>
              <w:rPr>
                <w:rFonts w:hAnsi="宋体" w:cs="宋体"/>
                <w:szCs w:val="24"/>
              </w:rPr>
            </w:pPr>
            <w:r>
              <w:rPr>
                <w:rFonts w:hint="eastAsia" w:hAnsi="宋体" w:cs="宋体"/>
                <w:szCs w:val="24"/>
              </w:rPr>
              <w:t>成立时间</w:t>
            </w:r>
          </w:p>
        </w:tc>
        <w:tc>
          <w:tcPr>
            <w:tcW w:w="2208" w:type="dxa"/>
            <w:gridSpan w:val="3"/>
            <w:vAlign w:val="center"/>
          </w:tcPr>
          <w:p w14:paraId="08DB10BF">
            <w:pPr>
              <w:autoSpaceDE w:val="0"/>
              <w:autoSpaceDN w:val="0"/>
              <w:adjustRightInd w:val="0"/>
              <w:spacing w:line="360" w:lineRule="auto"/>
              <w:jc w:val="center"/>
              <w:rPr>
                <w:rFonts w:hAnsi="宋体" w:cs="宋体"/>
                <w:szCs w:val="24"/>
              </w:rPr>
            </w:pPr>
          </w:p>
        </w:tc>
        <w:tc>
          <w:tcPr>
            <w:tcW w:w="5506" w:type="dxa"/>
            <w:gridSpan w:val="4"/>
            <w:vAlign w:val="center"/>
          </w:tcPr>
          <w:p w14:paraId="116B0783">
            <w:pPr>
              <w:autoSpaceDE w:val="0"/>
              <w:autoSpaceDN w:val="0"/>
              <w:adjustRightInd w:val="0"/>
              <w:spacing w:line="360" w:lineRule="auto"/>
              <w:ind w:firstLine="1680" w:firstLineChars="700"/>
              <w:rPr>
                <w:rFonts w:hAnsi="宋体" w:cs="宋体"/>
                <w:szCs w:val="24"/>
              </w:rPr>
            </w:pPr>
            <w:r>
              <w:rPr>
                <w:rFonts w:hint="eastAsia" w:hAnsi="宋体" w:cs="宋体"/>
                <w:szCs w:val="24"/>
              </w:rPr>
              <w:t>员工总人数：</w:t>
            </w:r>
          </w:p>
        </w:tc>
      </w:tr>
      <w:tr w14:paraId="233D14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86" w:type="dxa"/>
            <w:vAlign w:val="center"/>
          </w:tcPr>
          <w:p w14:paraId="38F36FDA">
            <w:pPr>
              <w:autoSpaceDE w:val="0"/>
              <w:autoSpaceDN w:val="0"/>
              <w:adjustRightInd w:val="0"/>
              <w:spacing w:line="360" w:lineRule="auto"/>
              <w:jc w:val="center"/>
              <w:rPr>
                <w:rFonts w:hAnsi="宋体" w:cs="宋体"/>
                <w:szCs w:val="24"/>
              </w:rPr>
            </w:pPr>
            <w:r>
              <w:rPr>
                <w:rFonts w:hint="eastAsia" w:hAnsi="宋体" w:cs="宋体"/>
                <w:szCs w:val="24"/>
              </w:rPr>
              <w:t>企业资质等级</w:t>
            </w:r>
          </w:p>
        </w:tc>
        <w:tc>
          <w:tcPr>
            <w:tcW w:w="2208" w:type="dxa"/>
            <w:gridSpan w:val="3"/>
            <w:vAlign w:val="center"/>
          </w:tcPr>
          <w:p w14:paraId="58E2D6B5">
            <w:pPr>
              <w:autoSpaceDE w:val="0"/>
              <w:autoSpaceDN w:val="0"/>
              <w:adjustRightInd w:val="0"/>
              <w:spacing w:line="360" w:lineRule="auto"/>
              <w:jc w:val="center"/>
              <w:rPr>
                <w:rFonts w:hAnsi="宋体" w:cs="宋体"/>
                <w:szCs w:val="24"/>
              </w:rPr>
            </w:pPr>
          </w:p>
        </w:tc>
        <w:tc>
          <w:tcPr>
            <w:tcW w:w="1231" w:type="dxa"/>
            <w:vMerge w:val="restart"/>
            <w:vAlign w:val="center"/>
          </w:tcPr>
          <w:p w14:paraId="587C16DD">
            <w:pPr>
              <w:autoSpaceDE w:val="0"/>
              <w:autoSpaceDN w:val="0"/>
              <w:adjustRightInd w:val="0"/>
              <w:spacing w:line="360" w:lineRule="auto"/>
              <w:jc w:val="center"/>
              <w:rPr>
                <w:rFonts w:hAnsi="宋体" w:cs="宋体"/>
                <w:szCs w:val="24"/>
              </w:rPr>
            </w:pPr>
            <w:r>
              <w:rPr>
                <w:rFonts w:hint="eastAsia" w:hAnsi="宋体" w:cs="宋体"/>
                <w:szCs w:val="24"/>
              </w:rPr>
              <w:t>其中</w:t>
            </w:r>
          </w:p>
        </w:tc>
        <w:tc>
          <w:tcPr>
            <w:tcW w:w="1793" w:type="dxa"/>
            <w:vAlign w:val="center"/>
          </w:tcPr>
          <w:p w14:paraId="525EE360">
            <w:pPr>
              <w:autoSpaceDE w:val="0"/>
              <w:autoSpaceDN w:val="0"/>
              <w:adjustRightInd w:val="0"/>
              <w:spacing w:line="360" w:lineRule="auto"/>
              <w:jc w:val="center"/>
              <w:rPr>
                <w:rFonts w:hAnsi="宋体" w:cs="宋体"/>
                <w:szCs w:val="24"/>
              </w:rPr>
            </w:pPr>
            <w:r>
              <w:rPr>
                <w:rFonts w:hint="eastAsia" w:hAnsi="宋体" w:cs="宋体"/>
                <w:szCs w:val="24"/>
              </w:rPr>
              <w:t>项目经理</w:t>
            </w:r>
          </w:p>
        </w:tc>
        <w:tc>
          <w:tcPr>
            <w:tcW w:w="2482" w:type="dxa"/>
            <w:gridSpan w:val="2"/>
            <w:vAlign w:val="center"/>
          </w:tcPr>
          <w:p w14:paraId="406F910D">
            <w:pPr>
              <w:autoSpaceDE w:val="0"/>
              <w:autoSpaceDN w:val="0"/>
              <w:adjustRightInd w:val="0"/>
              <w:spacing w:line="360" w:lineRule="auto"/>
              <w:jc w:val="center"/>
              <w:rPr>
                <w:rFonts w:hAnsi="宋体" w:cs="宋体"/>
                <w:b/>
                <w:bCs/>
                <w:szCs w:val="24"/>
              </w:rPr>
            </w:pPr>
          </w:p>
        </w:tc>
      </w:tr>
      <w:tr w14:paraId="1FBF05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86" w:type="dxa"/>
            <w:vAlign w:val="center"/>
          </w:tcPr>
          <w:p w14:paraId="457A8100">
            <w:pPr>
              <w:autoSpaceDE w:val="0"/>
              <w:autoSpaceDN w:val="0"/>
              <w:adjustRightInd w:val="0"/>
              <w:spacing w:line="360" w:lineRule="auto"/>
              <w:jc w:val="center"/>
              <w:rPr>
                <w:rFonts w:hAnsi="宋体" w:cs="宋体"/>
                <w:szCs w:val="24"/>
              </w:rPr>
            </w:pPr>
            <w:r>
              <w:rPr>
                <w:rFonts w:hint="eastAsia" w:hAnsi="宋体" w:cs="宋体"/>
                <w:szCs w:val="24"/>
              </w:rPr>
              <w:t>营业执照号</w:t>
            </w:r>
          </w:p>
        </w:tc>
        <w:tc>
          <w:tcPr>
            <w:tcW w:w="2208" w:type="dxa"/>
            <w:gridSpan w:val="3"/>
            <w:vAlign w:val="center"/>
          </w:tcPr>
          <w:p w14:paraId="6A4F1270">
            <w:pPr>
              <w:autoSpaceDE w:val="0"/>
              <w:autoSpaceDN w:val="0"/>
              <w:adjustRightInd w:val="0"/>
              <w:spacing w:line="360" w:lineRule="auto"/>
              <w:jc w:val="center"/>
              <w:rPr>
                <w:rFonts w:hAnsi="宋体" w:cs="宋体"/>
                <w:szCs w:val="24"/>
              </w:rPr>
            </w:pPr>
          </w:p>
        </w:tc>
        <w:tc>
          <w:tcPr>
            <w:tcW w:w="1231" w:type="dxa"/>
            <w:vMerge w:val="continue"/>
            <w:vAlign w:val="center"/>
          </w:tcPr>
          <w:p w14:paraId="710930C9">
            <w:pPr>
              <w:spacing w:line="360" w:lineRule="auto"/>
              <w:rPr>
                <w:rFonts w:hAnsi="宋体" w:cs="宋体"/>
                <w:szCs w:val="24"/>
              </w:rPr>
            </w:pPr>
          </w:p>
        </w:tc>
        <w:tc>
          <w:tcPr>
            <w:tcW w:w="1793" w:type="dxa"/>
            <w:vAlign w:val="center"/>
          </w:tcPr>
          <w:p w14:paraId="0EFAE1D0">
            <w:pPr>
              <w:autoSpaceDE w:val="0"/>
              <w:autoSpaceDN w:val="0"/>
              <w:adjustRightInd w:val="0"/>
              <w:spacing w:line="360" w:lineRule="auto"/>
              <w:jc w:val="center"/>
              <w:rPr>
                <w:rFonts w:hAnsi="宋体" w:cs="宋体"/>
                <w:szCs w:val="24"/>
              </w:rPr>
            </w:pPr>
            <w:r>
              <w:rPr>
                <w:rFonts w:hint="eastAsia" w:hAnsi="宋体" w:cs="宋体"/>
                <w:szCs w:val="24"/>
              </w:rPr>
              <w:t>高级职称人员</w:t>
            </w:r>
          </w:p>
        </w:tc>
        <w:tc>
          <w:tcPr>
            <w:tcW w:w="2482" w:type="dxa"/>
            <w:gridSpan w:val="2"/>
            <w:vAlign w:val="center"/>
          </w:tcPr>
          <w:p w14:paraId="269A1AD6">
            <w:pPr>
              <w:autoSpaceDE w:val="0"/>
              <w:autoSpaceDN w:val="0"/>
              <w:adjustRightInd w:val="0"/>
              <w:spacing w:line="360" w:lineRule="auto"/>
              <w:jc w:val="center"/>
              <w:rPr>
                <w:rFonts w:hAnsi="宋体" w:cs="宋体"/>
                <w:b/>
                <w:bCs/>
                <w:szCs w:val="24"/>
              </w:rPr>
            </w:pPr>
          </w:p>
        </w:tc>
      </w:tr>
      <w:tr w14:paraId="6C1057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86" w:type="dxa"/>
            <w:vAlign w:val="center"/>
          </w:tcPr>
          <w:p w14:paraId="40E489CA">
            <w:pPr>
              <w:autoSpaceDE w:val="0"/>
              <w:autoSpaceDN w:val="0"/>
              <w:adjustRightInd w:val="0"/>
              <w:spacing w:line="360" w:lineRule="auto"/>
              <w:jc w:val="center"/>
              <w:rPr>
                <w:rFonts w:hAnsi="宋体" w:cs="宋体"/>
                <w:szCs w:val="24"/>
              </w:rPr>
            </w:pPr>
            <w:r>
              <w:rPr>
                <w:rFonts w:hint="eastAsia" w:hAnsi="宋体" w:cs="宋体"/>
                <w:szCs w:val="24"/>
              </w:rPr>
              <w:t>注册资金</w:t>
            </w:r>
          </w:p>
        </w:tc>
        <w:tc>
          <w:tcPr>
            <w:tcW w:w="2208" w:type="dxa"/>
            <w:gridSpan w:val="3"/>
            <w:vAlign w:val="center"/>
          </w:tcPr>
          <w:p w14:paraId="4C8531A4">
            <w:pPr>
              <w:autoSpaceDE w:val="0"/>
              <w:autoSpaceDN w:val="0"/>
              <w:adjustRightInd w:val="0"/>
              <w:spacing w:line="360" w:lineRule="auto"/>
              <w:jc w:val="center"/>
              <w:rPr>
                <w:rFonts w:hAnsi="宋体" w:cs="宋体"/>
                <w:szCs w:val="24"/>
              </w:rPr>
            </w:pPr>
          </w:p>
        </w:tc>
        <w:tc>
          <w:tcPr>
            <w:tcW w:w="1231" w:type="dxa"/>
            <w:vMerge w:val="continue"/>
            <w:vAlign w:val="center"/>
          </w:tcPr>
          <w:p w14:paraId="6F36AA5D">
            <w:pPr>
              <w:spacing w:line="360" w:lineRule="auto"/>
              <w:rPr>
                <w:rFonts w:hAnsi="宋体" w:cs="宋体"/>
                <w:szCs w:val="24"/>
              </w:rPr>
            </w:pPr>
          </w:p>
        </w:tc>
        <w:tc>
          <w:tcPr>
            <w:tcW w:w="1793" w:type="dxa"/>
            <w:vAlign w:val="center"/>
          </w:tcPr>
          <w:p w14:paraId="6BA91F38">
            <w:pPr>
              <w:autoSpaceDE w:val="0"/>
              <w:autoSpaceDN w:val="0"/>
              <w:adjustRightInd w:val="0"/>
              <w:spacing w:line="360" w:lineRule="auto"/>
              <w:jc w:val="center"/>
              <w:rPr>
                <w:rFonts w:hAnsi="宋体" w:cs="宋体"/>
                <w:szCs w:val="24"/>
              </w:rPr>
            </w:pPr>
            <w:r>
              <w:rPr>
                <w:rFonts w:hint="eastAsia" w:hAnsi="宋体" w:cs="宋体"/>
                <w:szCs w:val="24"/>
              </w:rPr>
              <w:t>中级职称人员</w:t>
            </w:r>
          </w:p>
        </w:tc>
        <w:tc>
          <w:tcPr>
            <w:tcW w:w="2482" w:type="dxa"/>
            <w:gridSpan w:val="2"/>
            <w:vAlign w:val="center"/>
          </w:tcPr>
          <w:p w14:paraId="2028F112">
            <w:pPr>
              <w:autoSpaceDE w:val="0"/>
              <w:autoSpaceDN w:val="0"/>
              <w:adjustRightInd w:val="0"/>
              <w:spacing w:line="360" w:lineRule="auto"/>
              <w:jc w:val="center"/>
              <w:rPr>
                <w:rFonts w:hAnsi="宋体" w:cs="宋体"/>
                <w:b/>
                <w:bCs/>
                <w:szCs w:val="24"/>
              </w:rPr>
            </w:pPr>
          </w:p>
        </w:tc>
      </w:tr>
      <w:tr w14:paraId="2A2CAB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86" w:type="dxa"/>
            <w:vAlign w:val="center"/>
          </w:tcPr>
          <w:p w14:paraId="3AF81182">
            <w:pPr>
              <w:autoSpaceDE w:val="0"/>
              <w:autoSpaceDN w:val="0"/>
              <w:adjustRightInd w:val="0"/>
              <w:spacing w:line="360" w:lineRule="auto"/>
              <w:jc w:val="center"/>
              <w:rPr>
                <w:rFonts w:hAnsi="宋体" w:cs="宋体"/>
                <w:szCs w:val="24"/>
              </w:rPr>
            </w:pPr>
            <w:r>
              <w:rPr>
                <w:rFonts w:hint="eastAsia" w:hAnsi="宋体" w:cs="宋体"/>
                <w:szCs w:val="24"/>
              </w:rPr>
              <w:t>开户银行</w:t>
            </w:r>
          </w:p>
        </w:tc>
        <w:tc>
          <w:tcPr>
            <w:tcW w:w="2208" w:type="dxa"/>
            <w:gridSpan w:val="3"/>
            <w:vAlign w:val="center"/>
          </w:tcPr>
          <w:p w14:paraId="6B5AF8A3">
            <w:pPr>
              <w:autoSpaceDE w:val="0"/>
              <w:autoSpaceDN w:val="0"/>
              <w:adjustRightInd w:val="0"/>
              <w:spacing w:line="360" w:lineRule="auto"/>
              <w:jc w:val="center"/>
              <w:rPr>
                <w:rFonts w:hAnsi="宋体" w:cs="宋体"/>
                <w:szCs w:val="24"/>
              </w:rPr>
            </w:pPr>
          </w:p>
        </w:tc>
        <w:tc>
          <w:tcPr>
            <w:tcW w:w="1231" w:type="dxa"/>
            <w:vMerge w:val="continue"/>
            <w:vAlign w:val="center"/>
          </w:tcPr>
          <w:p w14:paraId="217BCC22">
            <w:pPr>
              <w:spacing w:line="360" w:lineRule="auto"/>
              <w:rPr>
                <w:rFonts w:hAnsi="宋体" w:cs="宋体"/>
                <w:szCs w:val="24"/>
              </w:rPr>
            </w:pPr>
          </w:p>
        </w:tc>
        <w:tc>
          <w:tcPr>
            <w:tcW w:w="1793" w:type="dxa"/>
            <w:vAlign w:val="center"/>
          </w:tcPr>
          <w:p w14:paraId="3C9A861D">
            <w:pPr>
              <w:autoSpaceDE w:val="0"/>
              <w:autoSpaceDN w:val="0"/>
              <w:adjustRightInd w:val="0"/>
              <w:spacing w:line="360" w:lineRule="auto"/>
              <w:jc w:val="center"/>
              <w:rPr>
                <w:rFonts w:hAnsi="宋体" w:cs="宋体"/>
                <w:szCs w:val="24"/>
              </w:rPr>
            </w:pPr>
            <w:r>
              <w:rPr>
                <w:rFonts w:hint="eastAsia" w:hAnsi="宋体" w:cs="宋体"/>
                <w:szCs w:val="24"/>
              </w:rPr>
              <w:t>初级职称人员</w:t>
            </w:r>
          </w:p>
        </w:tc>
        <w:tc>
          <w:tcPr>
            <w:tcW w:w="2482" w:type="dxa"/>
            <w:gridSpan w:val="2"/>
            <w:vAlign w:val="center"/>
          </w:tcPr>
          <w:p w14:paraId="431EC843">
            <w:pPr>
              <w:autoSpaceDE w:val="0"/>
              <w:autoSpaceDN w:val="0"/>
              <w:adjustRightInd w:val="0"/>
              <w:spacing w:line="360" w:lineRule="auto"/>
              <w:jc w:val="center"/>
              <w:rPr>
                <w:rFonts w:hAnsi="宋体" w:cs="宋体"/>
                <w:b/>
                <w:bCs/>
                <w:szCs w:val="24"/>
              </w:rPr>
            </w:pPr>
          </w:p>
        </w:tc>
      </w:tr>
      <w:tr w14:paraId="529552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86" w:type="dxa"/>
            <w:vAlign w:val="center"/>
          </w:tcPr>
          <w:p w14:paraId="386EA00B">
            <w:pPr>
              <w:autoSpaceDE w:val="0"/>
              <w:autoSpaceDN w:val="0"/>
              <w:adjustRightInd w:val="0"/>
              <w:spacing w:line="360" w:lineRule="auto"/>
              <w:jc w:val="center"/>
              <w:rPr>
                <w:rFonts w:hAnsi="宋体" w:cs="宋体"/>
                <w:szCs w:val="24"/>
              </w:rPr>
            </w:pPr>
            <w:r>
              <w:rPr>
                <w:rFonts w:hint="eastAsia" w:hAnsi="宋体" w:cs="宋体"/>
                <w:szCs w:val="24"/>
              </w:rPr>
              <w:t>账号</w:t>
            </w:r>
          </w:p>
        </w:tc>
        <w:tc>
          <w:tcPr>
            <w:tcW w:w="2208" w:type="dxa"/>
            <w:gridSpan w:val="3"/>
            <w:vAlign w:val="center"/>
          </w:tcPr>
          <w:p w14:paraId="6B7B90D1">
            <w:pPr>
              <w:autoSpaceDE w:val="0"/>
              <w:autoSpaceDN w:val="0"/>
              <w:adjustRightInd w:val="0"/>
              <w:spacing w:line="360" w:lineRule="auto"/>
              <w:jc w:val="center"/>
              <w:rPr>
                <w:rFonts w:hAnsi="宋体" w:cs="宋体"/>
                <w:szCs w:val="24"/>
              </w:rPr>
            </w:pPr>
          </w:p>
        </w:tc>
        <w:tc>
          <w:tcPr>
            <w:tcW w:w="1231" w:type="dxa"/>
            <w:vMerge w:val="continue"/>
            <w:vAlign w:val="center"/>
          </w:tcPr>
          <w:p w14:paraId="4EF3BE9E">
            <w:pPr>
              <w:spacing w:line="360" w:lineRule="auto"/>
              <w:rPr>
                <w:rFonts w:hAnsi="宋体" w:cs="宋体"/>
                <w:szCs w:val="24"/>
              </w:rPr>
            </w:pPr>
          </w:p>
        </w:tc>
        <w:tc>
          <w:tcPr>
            <w:tcW w:w="1793" w:type="dxa"/>
            <w:vAlign w:val="center"/>
          </w:tcPr>
          <w:p w14:paraId="2324D008">
            <w:pPr>
              <w:autoSpaceDE w:val="0"/>
              <w:autoSpaceDN w:val="0"/>
              <w:adjustRightInd w:val="0"/>
              <w:spacing w:line="360" w:lineRule="auto"/>
              <w:jc w:val="center"/>
              <w:rPr>
                <w:rFonts w:hAnsi="宋体" w:cs="宋体"/>
                <w:szCs w:val="24"/>
              </w:rPr>
            </w:pPr>
            <w:r>
              <w:rPr>
                <w:rFonts w:hint="eastAsia" w:hAnsi="宋体" w:cs="宋体"/>
                <w:szCs w:val="24"/>
              </w:rPr>
              <w:t>技工</w:t>
            </w:r>
          </w:p>
        </w:tc>
        <w:tc>
          <w:tcPr>
            <w:tcW w:w="2482" w:type="dxa"/>
            <w:gridSpan w:val="2"/>
            <w:vAlign w:val="center"/>
          </w:tcPr>
          <w:p w14:paraId="13FA30F3">
            <w:pPr>
              <w:autoSpaceDE w:val="0"/>
              <w:autoSpaceDN w:val="0"/>
              <w:adjustRightInd w:val="0"/>
              <w:spacing w:line="360" w:lineRule="auto"/>
              <w:jc w:val="center"/>
              <w:rPr>
                <w:rFonts w:hAnsi="宋体" w:cs="宋体"/>
                <w:b/>
                <w:bCs/>
                <w:szCs w:val="24"/>
              </w:rPr>
            </w:pPr>
          </w:p>
        </w:tc>
      </w:tr>
      <w:tr w14:paraId="0593D2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45" w:hRule="atLeast"/>
          <w:jc w:val="center"/>
        </w:trPr>
        <w:tc>
          <w:tcPr>
            <w:tcW w:w="1686" w:type="dxa"/>
            <w:vAlign w:val="center"/>
          </w:tcPr>
          <w:p w14:paraId="20B635C8">
            <w:pPr>
              <w:autoSpaceDE w:val="0"/>
              <w:autoSpaceDN w:val="0"/>
              <w:adjustRightInd w:val="0"/>
              <w:spacing w:line="360" w:lineRule="auto"/>
              <w:jc w:val="center"/>
              <w:rPr>
                <w:rFonts w:hAnsi="宋体" w:cs="宋体"/>
                <w:szCs w:val="24"/>
              </w:rPr>
            </w:pPr>
            <w:r>
              <w:rPr>
                <w:rFonts w:hint="eastAsia" w:hAnsi="宋体" w:cs="宋体"/>
                <w:szCs w:val="24"/>
              </w:rPr>
              <w:t>经营范围</w:t>
            </w:r>
          </w:p>
        </w:tc>
        <w:tc>
          <w:tcPr>
            <w:tcW w:w="7714" w:type="dxa"/>
            <w:gridSpan w:val="7"/>
            <w:vAlign w:val="center"/>
          </w:tcPr>
          <w:p w14:paraId="23343E92">
            <w:pPr>
              <w:autoSpaceDE w:val="0"/>
              <w:autoSpaceDN w:val="0"/>
              <w:adjustRightInd w:val="0"/>
              <w:spacing w:line="360" w:lineRule="auto"/>
              <w:jc w:val="center"/>
              <w:rPr>
                <w:rFonts w:hAnsi="宋体" w:cs="宋体"/>
                <w:b/>
                <w:bCs/>
                <w:szCs w:val="24"/>
              </w:rPr>
            </w:pPr>
          </w:p>
        </w:tc>
      </w:tr>
      <w:tr w14:paraId="09EE66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686" w:type="dxa"/>
            <w:vAlign w:val="center"/>
          </w:tcPr>
          <w:p w14:paraId="5BF33194">
            <w:pPr>
              <w:autoSpaceDE w:val="0"/>
              <w:autoSpaceDN w:val="0"/>
              <w:adjustRightInd w:val="0"/>
              <w:spacing w:line="360" w:lineRule="auto"/>
              <w:jc w:val="center"/>
              <w:rPr>
                <w:rFonts w:hAnsi="宋体" w:cs="宋体"/>
                <w:szCs w:val="24"/>
              </w:rPr>
            </w:pPr>
            <w:r>
              <w:rPr>
                <w:rFonts w:hint="eastAsia" w:hAnsi="宋体" w:cs="宋体"/>
                <w:szCs w:val="24"/>
              </w:rPr>
              <w:t>备注</w:t>
            </w:r>
          </w:p>
        </w:tc>
        <w:tc>
          <w:tcPr>
            <w:tcW w:w="7714" w:type="dxa"/>
            <w:gridSpan w:val="7"/>
            <w:vAlign w:val="center"/>
          </w:tcPr>
          <w:p w14:paraId="544598B3">
            <w:pPr>
              <w:autoSpaceDE w:val="0"/>
              <w:autoSpaceDN w:val="0"/>
              <w:adjustRightInd w:val="0"/>
              <w:spacing w:line="360" w:lineRule="auto"/>
              <w:jc w:val="center"/>
              <w:rPr>
                <w:rFonts w:hAnsi="宋体" w:cs="宋体"/>
                <w:szCs w:val="24"/>
              </w:rPr>
            </w:pPr>
          </w:p>
        </w:tc>
      </w:tr>
    </w:tbl>
    <w:p w14:paraId="30BA93D9">
      <w:pPr>
        <w:spacing w:line="360" w:lineRule="auto"/>
        <w:ind w:firstLine="470" w:firstLineChars="196"/>
        <w:rPr>
          <w:rFonts w:hAnsi="宋体" w:cs="宋体"/>
          <w:szCs w:val="24"/>
        </w:rPr>
      </w:pPr>
    </w:p>
    <w:p w14:paraId="4026D2FD">
      <w:pPr>
        <w:spacing w:line="360" w:lineRule="auto"/>
        <w:ind w:firstLine="470" w:firstLineChars="196"/>
        <w:rPr>
          <w:rFonts w:hAnsi="宋体" w:cs="宋体"/>
          <w:szCs w:val="24"/>
        </w:rPr>
      </w:pPr>
      <w:r>
        <w:rPr>
          <w:rFonts w:hint="eastAsia" w:hAnsi="宋体" w:cs="宋体"/>
          <w:szCs w:val="24"/>
        </w:rPr>
        <w:t>供应商名称：（单位公章）</w:t>
      </w:r>
    </w:p>
    <w:p w14:paraId="58394AF9">
      <w:pPr>
        <w:spacing w:line="360" w:lineRule="auto"/>
        <w:ind w:firstLine="470" w:firstLineChars="196"/>
        <w:rPr>
          <w:rFonts w:hAnsi="宋体" w:cs="宋体"/>
          <w:szCs w:val="24"/>
        </w:rPr>
      </w:pPr>
      <w:r>
        <w:rPr>
          <w:rFonts w:hint="eastAsia" w:hAnsi="宋体" w:cs="宋体"/>
          <w:szCs w:val="24"/>
        </w:rPr>
        <w:t>法定代表人或授权代理人（签字或盖章）：</w:t>
      </w:r>
    </w:p>
    <w:p w14:paraId="57AD26DB">
      <w:pPr>
        <w:spacing w:line="360" w:lineRule="auto"/>
        <w:ind w:firstLine="470" w:firstLineChars="196"/>
        <w:rPr>
          <w:rFonts w:hAnsi="宋体" w:cs="宋体"/>
          <w:szCs w:val="24"/>
        </w:rPr>
      </w:pPr>
      <w:r>
        <w:rPr>
          <w:rFonts w:hint="eastAsia" w:hAnsi="宋体" w:cs="宋体"/>
          <w:szCs w:val="24"/>
        </w:rPr>
        <w:t>日    期：</w:t>
      </w:r>
    </w:p>
    <w:p w14:paraId="256CF22D">
      <w:pPr>
        <w:pStyle w:val="8"/>
        <w:spacing w:line="360" w:lineRule="auto"/>
        <w:rPr>
          <w:rFonts w:ascii="宋体" w:hAnsi="宋体" w:eastAsia="宋体" w:cs="宋体"/>
          <w:sz w:val="24"/>
          <w:szCs w:val="24"/>
        </w:rPr>
      </w:pPr>
    </w:p>
    <w:p w14:paraId="2FC089D6">
      <w:pPr>
        <w:pStyle w:val="8"/>
        <w:spacing w:line="360" w:lineRule="auto"/>
        <w:rPr>
          <w:rFonts w:ascii="宋体" w:hAnsi="宋体" w:eastAsia="宋体" w:cs="宋体"/>
          <w:sz w:val="24"/>
          <w:szCs w:val="24"/>
        </w:rPr>
      </w:pPr>
    </w:p>
    <w:p w14:paraId="09AE1312">
      <w:pPr>
        <w:pStyle w:val="8"/>
        <w:spacing w:line="360" w:lineRule="auto"/>
        <w:rPr>
          <w:rFonts w:ascii="宋体" w:hAnsi="宋体" w:eastAsia="宋体" w:cs="宋体"/>
          <w:sz w:val="24"/>
          <w:szCs w:val="24"/>
        </w:rPr>
      </w:pPr>
      <w:bookmarkStart w:id="463" w:name="_Toc2221"/>
      <w:bookmarkStart w:id="464" w:name="_Toc21719"/>
    </w:p>
    <w:p w14:paraId="3CE97C74">
      <w:pPr>
        <w:pStyle w:val="8"/>
        <w:spacing w:line="360" w:lineRule="auto"/>
        <w:rPr>
          <w:rFonts w:ascii="宋体" w:hAnsi="宋体" w:eastAsia="宋体" w:cs="宋体"/>
          <w:sz w:val="24"/>
          <w:szCs w:val="24"/>
        </w:rPr>
      </w:pPr>
      <w:r>
        <w:rPr>
          <w:rFonts w:hint="eastAsia" w:ascii="宋体" w:hAnsi="宋体" w:eastAsia="宋体" w:cs="宋体"/>
          <w:sz w:val="24"/>
          <w:szCs w:val="24"/>
        </w:rPr>
        <w:br w:type="page"/>
      </w:r>
    </w:p>
    <w:bookmarkEnd w:id="447"/>
    <w:bookmarkEnd w:id="448"/>
    <w:bookmarkEnd w:id="449"/>
    <w:bookmarkEnd w:id="450"/>
    <w:bookmarkEnd w:id="451"/>
    <w:bookmarkEnd w:id="463"/>
    <w:bookmarkEnd w:id="464"/>
    <w:p w14:paraId="7FB2ED68">
      <w:pPr>
        <w:pStyle w:val="4"/>
        <w:spacing w:before="0" w:after="0" w:line="360" w:lineRule="auto"/>
        <w:jc w:val="center"/>
      </w:pPr>
      <w:bookmarkStart w:id="465" w:name="_Toc414893481"/>
      <w:bookmarkStart w:id="466" w:name="_Toc3968"/>
      <w:bookmarkStart w:id="467" w:name="_Toc170477131"/>
      <w:bookmarkStart w:id="468" w:name="_Toc750"/>
      <w:bookmarkStart w:id="469" w:name="_Toc217446091"/>
      <w:bookmarkStart w:id="470" w:name="_Toc29845"/>
      <w:bookmarkStart w:id="471" w:name="_Toc138168023"/>
      <w:bookmarkStart w:id="472" w:name="_Toc308164829"/>
      <w:bookmarkStart w:id="473" w:name="_Toc445697171"/>
      <w:r>
        <w:rPr>
          <w:rFonts w:hint="eastAsia"/>
        </w:rPr>
        <w:t>八、拟投入本项目管理、服务、其他人员情况表</w:t>
      </w:r>
      <w:bookmarkEnd w:id="465"/>
      <w:bookmarkEnd w:id="466"/>
      <w:bookmarkEnd w:id="467"/>
      <w:bookmarkEnd w:id="468"/>
      <w:bookmarkEnd w:id="469"/>
      <w:bookmarkEnd w:id="470"/>
      <w:bookmarkEnd w:id="471"/>
    </w:p>
    <w:p w14:paraId="71F85A4A">
      <w:pPr>
        <w:spacing w:line="360" w:lineRule="auto"/>
        <w:rPr>
          <w:rFonts w:hAnsi="宋体"/>
        </w:rPr>
      </w:pPr>
      <w:r>
        <w:rPr>
          <w:rFonts w:hint="eastAsia" w:hAnsi="宋体"/>
        </w:rPr>
        <w:t>采购项目名称：</w:t>
      </w:r>
      <w:r>
        <w:rPr>
          <w:rFonts w:hint="eastAsia" w:hAnsi="宋体"/>
          <w:u w:val="single"/>
        </w:rPr>
        <w:t xml:space="preserve">                                      </w:t>
      </w:r>
      <w:r>
        <w:rPr>
          <w:rFonts w:hint="eastAsia" w:hAnsi="宋体"/>
        </w:rPr>
        <w:t xml:space="preserve"> </w:t>
      </w:r>
    </w:p>
    <w:p w14:paraId="63781DD6">
      <w:pPr>
        <w:pStyle w:val="39"/>
        <w:jc w:val="left"/>
      </w:pPr>
      <w:r>
        <w:rPr>
          <w:rFonts w:hint="eastAsia" w:hAnsi="宋体"/>
        </w:rPr>
        <w:t>采购</w:t>
      </w:r>
      <w:r>
        <w:rPr>
          <w:rFonts w:hint="eastAsia" w:hAnsi="宋体" w:cs="宋体"/>
        </w:rPr>
        <w:t>文件编号：</w:t>
      </w:r>
      <w:r>
        <w:rPr>
          <w:rFonts w:hint="eastAsia" w:hAnsi="宋体" w:cs="宋体"/>
          <w:u w:val="single"/>
        </w:rPr>
        <w:t xml:space="preserve">     </w:t>
      </w:r>
      <w:r>
        <w:rPr>
          <w:rFonts w:hint="eastAsia" w:hAnsi="宋体"/>
          <w:u w:val="single"/>
        </w:rPr>
        <w:t xml:space="preserve">                                 </w:t>
      </w:r>
      <w:r>
        <w:rPr>
          <w:rFonts w:hint="eastAsia" w:hAnsi="宋体"/>
        </w:rPr>
        <w:t xml:space="preserve">   </w:t>
      </w: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066"/>
        <w:gridCol w:w="1066"/>
        <w:gridCol w:w="1067"/>
        <w:gridCol w:w="1066"/>
        <w:gridCol w:w="1391"/>
        <w:gridCol w:w="976"/>
        <w:gridCol w:w="1112"/>
        <w:gridCol w:w="978"/>
      </w:tblGrid>
      <w:tr w14:paraId="0697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77" w:type="dxa"/>
            <w:vMerge w:val="restart"/>
            <w:vAlign w:val="center"/>
          </w:tcPr>
          <w:p w14:paraId="2CB710DD">
            <w:pPr>
              <w:spacing w:line="360" w:lineRule="auto"/>
              <w:jc w:val="center"/>
              <w:rPr>
                <w:rFonts w:hAnsi="宋体" w:cs="宋体"/>
                <w:szCs w:val="24"/>
              </w:rPr>
            </w:pPr>
            <w:r>
              <w:rPr>
                <w:rFonts w:hint="eastAsia" w:hAnsi="宋体" w:cs="宋体"/>
                <w:szCs w:val="24"/>
              </w:rPr>
              <w:t>类别</w:t>
            </w:r>
          </w:p>
        </w:tc>
        <w:tc>
          <w:tcPr>
            <w:tcW w:w="1066" w:type="dxa"/>
            <w:vMerge w:val="restart"/>
            <w:vAlign w:val="center"/>
          </w:tcPr>
          <w:p w14:paraId="145B23B6">
            <w:pPr>
              <w:spacing w:line="360" w:lineRule="auto"/>
              <w:jc w:val="center"/>
              <w:rPr>
                <w:rFonts w:hAnsi="宋体" w:cs="宋体"/>
                <w:szCs w:val="24"/>
              </w:rPr>
            </w:pPr>
            <w:r>
              <w:rPr>
                <w:rFonts w:hint="eastAsia" w:hAnsi="宋体" w:cs="宋体"/>
                <w:szCs w:val="24"/>
              </w:rPr>
              <w:t>职务</w:t>
            </w:r>
          </w:p>
        </w:tc>
        <w:tc>
          <w:tcPr>
            <w:tcW w:w="1066" w:type="dxa"/>
            <w:vMerge w:val="restart"/>
            <w:vAlign w:val="center"/>
          </w:tcPr>
          <w:p w14:paraId="3D272E0E">
            <w:pPr>
              <w:spacing w:line="360" w:lineRule="auto"/>
              <w:jc w:val="center"/>
              <w:rPr>
                <w:rFonts w:hAnsi="宋体" w:cs="宋体"/>
                <w:szCs w:val="24"/>
              </w:rPr>
            </w:pPr>
            <w:r>
              <w:rPr>
                <w:rFonts w:hint="eastAsia" w:hAnsi="宋体" w:cs="宋体"/>
                <w:szCs w:val="24"/>
              </w:rPr>
              <w:t>姓名</w:t>
            </w:r>
          </w:p>
        </w:tc>
        <w:tc>
          <w:tcPr>
            <w:tcW w:w="1067" w:type="dxa"/>
            <w:vMerge w:val="restart"/>
            <w:vAlign w:val="center"/>
          </w:tcPr>
          <w:p w14:paraId="7B1917F3">
            <w:pPr>
              <w:spacing w:line="360" w:lineRule="auto"/>
              <w:jc w:val="center"/>
              <w:rPr>
                <w:rFonts w:hAnsi="宋体" w:cs="宋体"/>
                <w:szCs w:val="24"/>
              </w:rPr>
            </w:pPr>
            <w:r>
              <w:rPr>
                <w:rFonts w:hint="eastAsia" w:hAnsi="宋体" w:cs="宋体"/>
                <w:szCs w:val="24"/>
              </w:rPr>
              <w:t>职称</w:t>
            </w:r>
          </w:p>
        </w:tc>
        <w:tc>
          <w:tcPr>
            <w:tcW w:w="1066" w:type="dxa"/>
            <w:vMerge w:val="restart"/>
            <w:vAlign w:val="center"/>
          </w:tcPr>
          <w:p w14:paraId="2BECFE48">
            <w:pPr>
              <w:spacing w:line="360" w:lineRule="auto"/>
              <w:jc w:val="center"/>
              <w:rPr>
                <w:rFonts w:hAnsi="宋体" w:cs="宋体"/>
                <w:szCs w:val="24"/>
              </w:rPr>
            </w:pPr>
            <w:r>
              <w:rPr>
                <w:rFonts w:hint="eastAsia" w:hAnsi="宋体" w:cs="宋体"/>
                <w:szCs w:val="24"/>
              </w:rPr>
              <w:t>常住地</w:t>
            </w:r>
          </w:p>
        </w:tc>
        <w:tc>
          <w:tcPr>
            <w:tcW w:w="4457" w:type="dxa"/>
            <w:gridSpan w:val="4"/>
            <w:vAlign w:val="center"/>
          </w:tcPr>
          <w:p w14:paraId="295DC98E">
            <w:pPr>
              <w:spacing w:line="360" w:lineRule="auto"/>
              <w:jc w:val="center"/>
              <w:rPr>
                <w:rFonts w:hAnsi="宋体" w:cs="宋体"/>
                <w:szCs w:val="24"/>
              </w:rPr>
            </w:pPr>
            <w:r>
              <w:rPr>
                <w:rFonts w:hint="eastAsia" w:hAnsi="宋体" w:cs="宋体"/>
                <w:szCs w:val="24"/>
              </w:rPr>
              <w:t>资格证明（附复印件）</w:t>
            </w:r>
          </w:p>
        </w:tc>
      </w:tr>
      <w:tr w14:paraId="0810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77" w:type="dxa"/>
            <w:vMerge w:val="continue"/>
            <w:vAlign w:val="center"/>
          </w:tcPr>
          <w:p w14:paraId="2D553196">
            <w:pPr>
              <w:spacing w:line="360" w:lineRule="auto"/>
              <w:rPr>
                <w:rFonts w:hAnsi="宋体" w:cs="宋体"/>
                <w:szCs w:val="24"/>
              </w:rPr>
            </w:pPr>
          </w:p>
        </w:tc>
        <w:tc>
          <w:tcPr>
            <w:tcW w:w="1066" w:type="dxa"/>
            <w:vMerge w:val="continue"/>
            <w:vAlign w:val="center"/>
          </w:tcPr>
          <w:p w14:paraId="7E701160">
            <w:pPr>
              <w:spacing w:line="360" w:lineRule="auto"/>
              <w:rPr>
                <w:rFonts w:hAnsi="宋体" w:cs="宋体"/>
                <w:szCs w:val="24"/>
              </w:rPr>
            </w:pPr>
          </w:p>
        </w:tc>
        <w:tc>
          <w:tcPr>
            <w:tcW w:w="1066" w:type="dxa"/>
            <w:vMerge w:val="continue"/>
            <w:vAlign w:val="center"/>
          </w:tcPr>
          <w:p w14:paraId="7B2B4E9F">
            <w:pPr>
              <w:spacing w:line="360" w:lineRule="auto"/>
              <w:rPr>
                <w:rFonts w:hAnsi="宋体" w:cs="宋体"/>
                <w:szCs w:val="24"/>
              </w:rPr>
            </w:pPr>
          </w:p>
        </w:tc>
        <w:tc>
          <w:tcPr>
            <w:tcW w:w="1067" w:type="dxa"/>
            <w:vMerge w:val="continue"/>
            <w:vAlign w:val="center"/>
          </w:tcPr>
          <w:p w14:paraId="793E6462">
            <w:pPr>
              <w:spacing w:line="360" w:lineRule="auto"/>
              <w:rPr>
                <w:rFonts w:hAnsi="宋体" w:cs="宋体"/>
                <w:szCs w:val="24"/>
              </w:rPr>
            </w:pPr>
          </w:p>
        </w:tc>
        <w:tc>
          <w:tcPr>
            <w:tcW w:w="1066" w:type="dxa"/>
            <w:vMerge w:val="continue"/>
            <w:vAlign w:val="center"/>
          </w:tcPr>
          <w:p w14:paraId="277AAD8A">
            <w:pPr>
              <w:spacing w:line="360" w:lineRule="auto"/>
              <w:rPr>
                <w:rFonts w:hAnsi="宋体" w:cs="宋体"/>
                <w:szCs w:val="24"/>
              </w:rPr>
            </w:pPr>
          </w:p>
        </w:tc>
        <w:tc>
          <w:tcPr>
            <w:tcW w:w="1391" w:type="dxa"/>
            <w:vAlign w:val="center"/>
          </w:tcPr>
          <w:p w14:paraId="775DE6FD">
            <w:pPr>
              <w:spacing w:line="360" w:lineRule="auto"/>
              <w:jc w:val="center"/>
              <w:rPr>
                <w:rFonts w:hAnsi="宋体" w:cs="宋体"/>
                <w:szCs w:val="24"/>
              </w:rPr>
            </w:pPr>
            <w:r>
              <w:rPr>
                <w:rFonts w:hint="eastAsia" w:hAnsi="宋体" w:cs="宋体"/>
                <w:szCs w:val="24"/>
              </w:rPr>
              <w:t>证书名称</w:t>
            </w:r>
          </w:p>
        </w:tc>
        <w:tc>
          <w:tcPr>
            <w:tcW w:w="976" w:type="dxa"/>
            <w:vAlign w:val="center"/>
          </w:tcPr>
          <w:p w14:paraId="3C68D2F4">
            <w:pPr>
              <w:spacing w:line="360" w:lineRule="auto"/>
              <w:jc w:val="center"/>
              <w:rPr>
                <w:rFonts w:hAnsi="宋体" w:cs="宋体"/>
                <w:szCs w:val="24"/>
              </w:rPr>
            </w:pPr>
            <w:r>
              <w:rPr>
                <w:rFonts w:hint="eastAsia" w:hAnsi="宋体" w:cs="宋体"/>
                <w:szCs w:val="24"/>
              </w:rPr>
              <w:t>级别</w:t>
            </w:r>
          </w:p>
        </w:tc>
        <w:tc>
          <w:tcPr>
            <w:tcW w:w="1112" w:type="dxa"/>
            <w:vAlign w:val="center"/>
          </w:tcPr>
          <w:p w14:paraId="19E24280">
            <w:pPr>
              <w:spacing w:line="360" w:lineRule="auto"/>
              <w:jc w:val="center"/>
              <w:rPr>
                <w:rFonts w:hAnsi="宋体" w:cs="宋体"/>
                <w:szCs w:val="24"/>
              </w:rPr>
            </w:pPr>
            <w:r>
              <w:rPr>
                <w:rFonts w:hint="eastAsia" w:hAnsi="宋体" w:cs="宋体"/>
                <w:szCs w:val="24"/>
              </w:rPr>
              <w:t>证号</w:t>
            </w:r>
          </w:p>
        </w:tc>
        <w:tc>
          <w:tcPr>
            <w:tcW w:w="978" w:type="dxa"/>
            <w:vAlign w:val="center"/>
          </w:tcPr>
          <w:p w14:paraId="2951AD43">
            <w:pPr>
              <w:spacing w:line="360" w:lineRule="auto"/>
              <w:jc w:val="center"/>
              <w:rPr>
                <w:rFonts w:hAnsi="宋体" w:cs="宋体"/>
                <w:szCs w:val="24"/>
              </w:rPr>
            </w:pPr>
            <w:r>
              <w:rPr>
                <w:rFonts w:hint="eastAsia" w:hAnsi="宋体" w:cs="宋体"/>
                <w:szCs w:val="24"/>
              </w:rPr>
              <w:t>专业</w:t>
            </w:r>
          </w:p>
        </w:tc>
      </w:tr>
      <w:tr w14:paraId="2682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77" w:type="dxa"/>
            <w:vMerge w:val="restart"/>
            <w:vAlign w:val="center"/>
          </w:tcPr>
          <w:p w14:paraId="085D1397">
            <w:pPr>
              <w:spacing w:line="360" w:lineRule="auto"/>
              <w:jc w:val="center"/>
              <w:rPr>
                <w:rFonts w:hAnsi="宋体" w:cs="宋体"/>
                <w:szCs w:val="24"/>
              </w:rPr>
            </w:pPr>
            <w:r>
              <w:rPr>
                <w:rFonts w:hAnsi="宋体" w:cs="宋体"/>
                <w:szCs w:val="24"/>
              </w:rPr>
              <w:t>管理人员</w:t>
            </w:r>
          </w:p>
        </w:tc>
        <w:tc>
          <w:tcPr>
            <w:tcW w:w="1066" w:type="dxa"/>
          </w:tcPr>
          <w:p w14:paraId="0903830F">
            <w:pPr>
              <w:spacing w:line="360" w:lineRule="auto"/>
              <w:jc w:val="center"/>
              <w:rPr>
                <w:rFonts w:hAnsi="宋体" w:cs="宋体"/>
                <w:szCs w:val="24"/>
              </w:rPr>
            </w:pPr>
          </w:p>
        </w:tc>
        <w:tc>
          <w:tcPr>
            <w:tcW w:w="1066" w:type="dxa"/>
          </w:tcPr>
          <w:p w14:paraId="4BE02F0A">
            <w:pPr>
              <w:spacing w:line="360" w:lineRule="auto"/>
              <w:jc w:val="center"/>
              <w:rPr>
                <w:rFonts w:hAnsi="宋体" w:cs="宋体"/>
                <w:szCs w:val="24"/>
              </w:rPr>
            </w:pPr>
          </w:p>
        </w:tc>
        <w:tc>
          <w:tcPr>
            <w:tcW w:w="1067" w:type="dxa"/>
          </w:tcPr>
          <w:p w14:paraId="60026119">
            <w:pPr>
              <w:spacing w:line="360" w:lineRule="auto"/>
              <w:jc w:val="center"/>
              <w:rPr>
                <w:rFonts w:hAnsi="宋体" w:cs="宋体"/>
                <w:szCs w:val="24"/>
              </w:rPr>
            </w:pPr>
          </w:p>
        </w:tc>
        <w:tc>
          <w:tcPr>
            <w:tcW w:w="1066" w:type="dxa"/>
          </w:tcPr>
          <w:p w14:paraId="4B6224E7">
            <w:pPr>
              <w:spacing w:line="360" w:lineRule="auto"/>
              <w:jc w:val="center"/>
              <w:rPr>
                <w:rFonts w:hAnsi="宋体" w:cs="宋体"/>
                <w:szCs w:val="24"/>
              </w:rPr>
            </w:pPr>
          </w:p>
        </w:tc>
        <w:tc>
          <w:tcPr>
            <w:tcW w:w="1391" w:type="dxa"/>
          </w:tcPr>
          <w:p w14:paraId="64C44E8A">
            <w:pPr>
              <w:spacing w:line="360" w:lineRule="auto"/>
              <w:jc w:val="center"/>
              <w:rPr>
                <w:rFonts w:hAnsi="宋体" w:cs="宋体"/>
                <w:szCs w:val="24"/>
              </w:rPr>
            </w:pPr>
          </w:p>
        </w:tc>
        <w:tc>
          <w:tcPr>
            <w:tcW w:w="976" w:type="dxa"/>
          </w:tcPr>
          <w:p w14:paraId="2D0470D3">
            <w:pPr>
              <w:spacing w:line="360" w:lineRule="auto"/>
              <w:jc w:val="center"/>
              <w:rPr>
                <w:rFonts w:hAnsi="宋体" w:cs="宋体"/>
                <w:szCs w:val="24"/>
              </w:rPr>
            </w:pPr>
          </w:p>
        </w:tc>
        <w:tc>
          <w:tcPr>
            <w:tcW w:w="1112" w:type="dxa"/>
          </w:tcPr>
          <w:p w14:paraId="6BE6CB9B">
            <w:pPr>
              <w:spacing w:line="360" w:lineRule="auto"/>
              <w:jc w:val="center"/>
              <w:rPr>
                <w:rFonts w:hAnsi="宋体" w:cs="宋体"/>
                <w:szCs w:val="24"/>
              </w:rPr>
            </w:pPr>
          </w:p>
        </w:tc>
        <w:tc>
          <w:tcPr>
            <w:tcW w:w="978" w:type="dxa"/>
          </w:tcPr>
          <w:p w14:paraId="56A218AC">
            <w:pPr>
              <w:spacing w:line="360" w:lineRule="auto"/>
              <w:jc w:val="center"/>
              <w:rPr>
                <w:rFonts w:hAnsi="宋体" w:cs="宋体"/>
                <w:szCs w:val="24"/>
              </w:rPr>
            </w:pPr>
          </w:p>
        </w:tc>
      </w:tr>
      <w:tr w14:paraId="4407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77" w:type="dxa"/>
            <w:vMerge w:val="continue"/>
            <w:vAlign w:val="center"/>
          </w:tcPr>
          <w:p w14:paraId="032E066D">
            <w:pPr>
              <w:spacing w:line="360" w:lineRule="auto"/>
              <w:jc w:val="center"/>
              <w:rPr>
                <w:rFonts w:hAnsi="宋体" w:cs="宋体"/>
                <w:szCs w:val="24"/>
              </w:rPr>
            </w:pPr>
          </w:p>
        </w:tc>
        <w:tc>
          <w:tcPr>
            <w:tcW w:w="1066" w:type="dxa"/>
          </w:tcPr>
          <w:p w14:paraId="62F87770">
            <w:pPr>
              <w:spacing w:line="360" w:lineRule="auto"/>
              <w:jc w:val="center"/>
              <w:rPr>
                <w:rFonts w:hAnsi="宋体" w:cs="宋体"/>
                <w:szCs w:val="24"/>
              </w:rPr>
            </w:pPr>
          </w:p>
        </w:tc>
        <w:tc>
          <w:tcPr>
            <w:tcW w:w="1066" w:type="dxa"/>
          </w:tcPr>
          <w:p w14:paraId="286E3429">
            <w:pPr>
              <w:spacing w:line="360" w:lineRule="auto"/>
              <w:jc w:val="center"/>
              <w:rPr>
                <w:rFonts w:hAnsi="宋体" w:cs="宋体"/>
                <w:szCs w:val="24"/>
              </w:rPr>
            </w:pPr>
          </w:p>
        </w:tc>
        <w:tc>
          <w:tcPr>
            <w:tcW w:w="1067" w:type="dxa"/>
          </w:tcPr>
          <w:p w14:paraId="6FC71C5B">
            <w:pPr>
              <w:spacing w:line="360" w:lineRule="auto"/>
              <w:jc w:val="center"/>
              <w:rPr>
                <w:rFonts w:hAnsi="宋体" w:cs="宋体"/>
                <w:szCs w:val="24"/>
              </w:rPr>
            </w:pPr>
          </w:p>
        </w:tc>
        <w:tc>
          <w:tcPr>
            <w:tcW w:w="1066" w:type="dxa"/>
          </w:tcPr>
          <w:p w14:paraId="00EEB3BC">
            <w:pPr>
              <w:spacing w:line="360" w:lineRule="auto"/>
              <w:jc w:val="center"/>
              <w:rPr>
                <w:rFonts w:hAnsi="宋体" w:cs="宋体"/>
                <w:szCs w:val="24"/>
              </w:rPr>
            </w:pPr>
          </w:p>
        </w:tc>
        <w:tc>
          <w:tcPr>
            <w:tcW w:w="1391" w:type="dxa"/>
          </w:tcPr>
          <w:p w14:paraId="4EA4AB3D">
            <w:pPr>
              <w:spacing w:line="360" w:lineRule="auto"/>
              <w:jc w:val="center"/>
              <w:rPr>
                <w:rFonts w:hAnsi="宋体" w:cs="宋体"/>
                <w:szCs w:val="24"/>
              </w:rPr>
            </w:pPr>
          </w:p>
        </w:tc>
        <w:tc>
          <w:tcPr>
            <w:tcW w:w="976" w:type="dxa"/>
          </w:tcPr>
          <w:p w14:paraId="567271AF">
            <w:pPr>
              <w:spacing w:line="360" w:lineRule="auto"/>
              <w:jc w:val="center"/>
              <w:rPr>
                <w:rFonts w:hAnsi="宋体" w:cs="宋体"/>
                <w:szCs w:val="24"/>
              </w:rPr>
            </w:pPr>
          </w:p>
        </w:tc>
        <w:tc>
          <w:tcPr>
            <w:tcW w:w="1112" w:type="dxa"/>
          </w:tcPr>
          <w:p w14:paraId="5C93F6D9">
            <w:pPr>
              <w:spacing w:line="360" w:lineRule="auto"/>
              <w:jc w:val="center"/>
              <w:rPr>
                <w:rFonts w:hAnsi="宋体" w:cs="宋体"/>
                <w:szCs w:val="24"/>
              </w:rPr>
            </w:pPr>
          </w:p>
        </w:tc>
        <w:tc>
          <w:tcPr>
            <w:tcW w:w="978" w:type="dxa"/>
          </w:tcPr>
          <w:p w14:paraId="51017604">
            <w:pPr>
              <w:spacing w:line="360" w:lineRule="auto"/>
              <w:jc w:val="center"/>
              <w:rPr>
                <w:rFonts w:hAnsi="宋体" w:cs="宋体"/>
                <w:szCs w:val="24"/>
              </w:rPr>
            </w:pPr>
          </w:p>
        </w:tc>
      </w:tr>
      <w:tr w14:paraId="5207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77" w:type="dxa"/>
            <w:vMerge w:val="continue"/>
            <w:vAlign w:val="center"/>
          </w:tcPr>
          <w:p w14:paraId="63044FF1">
            <w:pPr>
              <w:spacing w:line="360" w:lineRule="auto"/>
              <w:jc w:val="center"/>
              <w:rPr>
                <w:rFonts w:hAnsi="宋体" w:cs="宋体"/>
                <w:szCs w:val="24"/>
              </w:rPr>
            </w:pPr>
          </w:p>
        </w:tc>
        <w:tc>
          <w:tcPr>
            <w:tcW w:w="1066" w:type="dxa"/>
          </w:tcPr>
          <w:p w14:paraId="594299E3">
            <w:pPr>
              <w:spacing w:line="360" w:lineRule="auto"/>
              <w:jc w:val="center"/>
              <w:rPr>
                <w:rFonts w:hAnsi="宋体" w:cs="宋体"/>
                <w:szCs w:val="24"/>
              </w:rPr>
            </w:pPr>
          </w:p>
        </w:tc>
        <w:tc>
          <w:tcPr>
            <w:tcW w:w="1066" w:type="dxa"/>
          </w:tcPr>
          <w:p w14:paraId="0C9711CF">
            <w:pPr>
              <w:spacing w:line="360" w:lineRule="auto"/>
              <w:jc w:val="center"/>
              <w:rPr>
                <w:rFonts w:hAnsi="宋体" w:cs="宋体"/>
                <w:szCs w:val="24"/>
              </w:rPr>
            </w:pPr>
          </w:p>
        </w:tc>
        <w:tc>
          <w:tcPr>
            <w:tcW w:w="1067" w:type="dxa"/>
          </w:tcPr>
          <w:p w14:paraId="78190FFF">
            <w:pPr>
              <w:spacing w:line="360" w:lineRule="auto"/>
              <w:jc w:val="center"/>
              <w:rPr>
                <w:rFonts w:hAnsi="宋体" w:cs="宋体"/>
                <w:szCs w:val="24"/>
              </w:rPr>
            </w:pPr>
          </w:p>
        </w:tc>
        <w:tc>
          <w:tcPr>
            <w:tcW w:w="1066" w:type="dxa"/>
          </w:tcPr>
          <w:p w14:paraId="217EF65F">
            <w:pPr>
              <w:spacing w:line="360" w:lineRule="auto"/>
              <w:jc w:val="center"/>
              <w:rPr>
                <w:rFonts w:hAnsi="宋体" w:cs="宋体"/>
                <w:szCs w:val="24"/>
              </w:rPr>
            </w:pPr>
          </w:p>
        </w:tc>
        <w:tc>
          <w:tcPr>
            <w:tcW w:w="1391" w:type="dxa"/>
          </w:tcPr>
          <w:p w14:paraId="7B42E007">
            <w:pPr>
              <w:spacing w:line="360" w:lineRule="auto"/>
              <w:jc w:val="center"/>
              <w:rPr>
                <w:rFonts w:hAnsi="宋体" w:cs="宋体"/>
                <w:szCs w:val="24"/>
              </w:rPr>
            </w:pPr>
          </w:p>
        </w:tc>
        <w:tc>
          <w:tcPr>
            <w:tcW w:w="976" w:type="dxa"/>
          </w:tcPr>
          <w:p w14:paraId="42D89A80">
            <w:pPr>
              <w:spacing w:line="360" w:lineRule="auto"/>
              <w:jc w:val="center"/>
              <w:rPr>
                <w:rFonts w:hAnsi="宋体" w:cs="宋体"/>
                <w:szCs w:val="24"/>
              </w:rPr>
            </w:pPr>
          </w:p>
        </w:tc>
        <w:tc>
          <w:tcPr>
            <w:tcW w:w="1112" w:type="dxa"/>
          </w:tcPr>
          <w:p w14:paraId="451A54A7">
            <w:pPr>
              <w:spacing w:line="360" w:lineRule="auto"/>
              <w:jc w:val="center"/>
              <w:rPr>
                <w:rFonts w:hAnsi="宋体" w:cs="宋体"/>
                <w:szCs w:val="24"/>
              </w:rPr>
            </w:pPr>
          </w:p>
        </w:tc>
        <w:tc>
          <w:tcPr>
            <w:tcW w:w="978" w:type="dxa"/>
          </w:tcPr>
          <w:p w14:paraId="2FB44602">
            <w:pPr>
              <w:spacing w:line="360" w:lineRule="auto"/>
              <w:jc w:val="center"/>
              <w:rPr>
                <w:rFonts w:hAnsi="宋体" w:cs="宋体"/>
                <w:szCs w:val="24"/>
              </w:rPr>
            </w:pPr>
          </w:p>
        </w:tc>
      </w:tr>
      <w:tr w14:paraId="7386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77" w:type="dxa"/>
            <w:vMerge w:val="continue"/>
            <w:vAlign w:val="center"/>
          </w:tcPr>
          <w:p w14:paraId="4C4D9679">
            <w:pPr>
              <w:spacing w:line="360" w:lineRule="auto"/>
              <w:jc w:val="center"/>
              <w:rPr>
                <w:rFonts w:hAnsi="宋体" w:cs="宋体"/>
                <w:szCs w:val="24"/>
              </w:rPr>
            </w:pPr>
          </w:p>
        </w:tc>
        <w:tc>
          <w:tcPr>
            <w:tcW w:w="1066" w:type="dxa"/>
          </w:tcPr>
          <w:p w14:paraId="54BE016A">
            <w:pPr>
              <w:spacing w:line="360" w:lineRule="auto"/>
              <w:jc w:val="center"/>
              <w:rPr>
                <w:rFonts w:hAnsi="宋体" w:cs="宋体"/>
                <w:szCs w:val="24"/>
              </w:rPr>
            </w:pPr>
          </w:p>
        </w:tc>
        <w:tc>
          <w:tcPr>
            <w:tcW w:w="1066" w:type="dxa"/>
          </w:tcPr>
          <w:p w14:paraId="18332C3D">
            <w:pPr>
              <w:spacing w:line="360" w:lineRule="auto"/>
              <w:jc w:val="center"/>
              <w:rPr>
                <w:rFonts w:hAnsi="宋体" w:cs="宋体"/>
                <w:szCs w:val="24"/>
              </w:rPr>
            </w:pPr>
          </w:p>
        </w:tc>
        <w:tc>
          <w:tcPr>
            <w:tcW w:w="1067" w:type="dxa"/>
          </w:tcPr>
          <w:p w14:paraId="789628E7">
            <w:pPr>
              <w:spacing w:line="360" w:lineRule="auto"/>
              <w:jc w:val="center"/>
              <w:rPr>
                <w:rFonts w:hAnsi="宋体" w:cs="宋体"/>
                <w:szCs w:val="24"/>
              </w:rPr>
            </w:pPr>
          </w:p>
        </w:tc>
        <w:tc>
          <w:tcPr>
            <w:tcW w:w="1066" w:type="dxa"/>
          </w:tcPr>
          <w:p w14:paraId="27E9F97E">
            <w:pPr>
              <w:spacing w:line="360" w:lineRule="auto"/>
              <w:jc w:val="center"/>
              <w:rPr>
                <w:rFonts w:hAnsi="宋体" w:cs="宋体"/>
                <w:szCs w:val="24"/>
              </w:rPr>
            </w:pPr>
          </w:p>
        </w:tc>
        <w:tc>
          <w:tcPr>
            <w:tcW w:w="1391" w:type="dxa"/>
          </w:tcPr>
          <w:p w14:paraId="5F6882A5">
            <w:pPr>
              <w:spacing w:line="360" w:lineRule="auto"/>
              <w:jc w:val="center"/>
              <w:rPr>
                <w:rFonts w:hAnsi="宋体" w:cs="宋体"/>
                <w:szCs w:val="24"/>
              </w:rPr>
            </w:pPr>
          </w:p>
        </w:tc>
        <w:tc>
          <w:tcPr>
            <w:tcW w:w="976" w:type="dxa"/>
          </w:tcPr>
          <w:p w14:paraId="059A0942">
            <w:pPr>
              <w:spacing w:line="360" w:lineRule="auto"/>
              <w:jc w:val="center"/>
              <w:rPr>
                <w:rFonts w:hAnsi="宋体" w:cs="宋体"/>
                <w:szCs w:val="24"/>
              </w:rPr>
            </w:pPr>
          </w:p>
        </w:tc>
        <w:tc>
          <w:tcPr>
            <w:tcW w:w="1112" w:type="dxa"/>
          </w:tcPr>
          <w:p w14:paraId="468AC38F">
            <w:pPr>
              <w:spacing w:line="360" w:lineRule="auto"/>
              <w:jc w:val="center"/>
              <w:rPr>
                <w:rFonts w:hAnsi="宋体" w:cs="宋体"/>
                <w:szCs w:val="24"/>
              </w:rPr>
            </w:pPr>
          </w:p>
        </w:tc>
        <w:tc>
          <w:tcPr>
            <w:tcW w:w="978" w:type="dxa"/>
          </w:tcPr>
          <w:p w14:paraId="284E3B0F">
            <w:pPr>
              <w:spacing w:line="360" w:lineRule="auto"/>
              <w:jc w:val="center"/>
              <w:rPr>
                <w:rFonts w:hAnsi="宋体" w:cs="宋体"/>
                <w:szCs w:val="24"/>
              </w:rPr>
            </w:pPr>
          </w:p>
        </w:tc>
      </w:tr>
      <w:tr w14:paraId="08C8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77" w:type="dxa"/>
            <w:vMerge w:val="restart"/>
            <w:vAlign w:val="center"/>
          </w:tcPr>
          <w:p w14:paraId="5F5BD95A">
            <w:pPr>
              <w:spacing w:line="360" w:lineRule="auto"/>
              <w:jc w:val="center"/>
              <w:rPr>
                <w:rFonts w:hAnsi="宋体" w:cs="宋体"/>
                <w:szCs w:val="24"/>
              </w:rPr>
            </w:pPr>
            <w:r>
              <w:rPr>
                <w:rFonts w:hAnsi="宋体" w:cs="宋体"/>
                <w:szCs w:val="24"/>
              </w:rPr>
              <w:t>技术人员</w:t>
            </w:r>
          </w:p>
        </w:tc>
        <w:tc>
          <w:tcPr>
            <w:tcW w:w="1066" w:type="dxa"/>
          </w:tcPr>
          <w:p w14:paraId="10E3C8F8">
            <w:pPr>
              <w:spacing w:line="360" w:lineRule="auto"/>
              <w:jc w:val="center"/>
              <w:rPr>
                <w:rFonts w:hAnsi="宋体" w:cs="宋体"/>
                <w:szCs w:val="24"/>
              </w:rPr>
            </w:pPr>
          </w:p>
        </w:tc>
        <w:tc>
          <w:tcPr>
            <w:tcW w:w="1066" w:type="dxa"/>
          </w:tcPr>
          <w:p w14:paraId="4B796B88">
            <w:pPr>
              <w:spacing w:line="360" w:lineRule="auto"/>
              <w:jc w:val="center"/>
              <w:rPr>
                <w:rFonts w:hAnsi="宋体" w:cs="宋体"/>
                <w:szCs w:val="24"/>
              </w:rPr>
            </w:pPr>
          </w:p>
        </w:tc>
        <w:tc>
          <w:tcPr>
            <w:tcW w:w="1067" w:type="dxa"/>
          </w:tcPr>
          <w:p w14:paraId="1E6A4159">
            <w:pPr>
              <w:spacing w:line="360" w:lineRule="auto"/>
              <w:jc w:val="center"/>
              <w:rPr>
                <w:rFonts w:hAnsi="宋体" w:cs="宋体"/>
                <w:szCs w:val="24"/>
              </w:rPr>
            </w:pPr>
          </w:p>
        </w:tc>
        <w:tc>
          <w:tcPr>
            <w:tcW w:w="1066" w:type="dxa"/>
          </w:tcPr>
          <w:p w14:paraId="353693FC">
            <w:pPr>
              <w:spacing w:line="360" w:lineRule="auto"/>
              <w:jc w:val="center"/>
              <w:rPr>
                <w:rFonts w:hAnsi="宋体" w:cs="宋体"/>
                <w:szCs w:val="24"/>
              </w:rPr>
            </w:pPr>
          </w:p>
        </w:tc>
        <w:tc>
          <w:tcPr>
            <w:tcW w:w="1391" w:type="dxa"/>
          </w:tcPr>
          <w:p w14:paraId="5FAB7D93">
            <w:pPr>
              <w:spacing w:line="360" w:lineRule="auto"/>
              <w:jc w:val="center"/>
              <w:rPr>
                <w:rFonts w:hAnsi="宋体" w:cs="宋体"/>
                <w:szCs w:val="24"/>
              </w:rPr>
            </w:pPr>
          </w:p>
        </w:tc>
        <w:tc>
          <w:tcPr>
            <w:tcW w:w="976" w:type="dxa"/>
          </w:tcPr>
          <w:p w14:paraId="1ECF6411">
            <w:pPr>
              <w:spacing w:line="360" w:lineRule="auto"/>
              <w:jc w:val="center"/>
              <w:rPr>
                <w:rFonts w:hAnsi="宋体" w:cs="宋体"/>
                <w:szCs w:val="24"/>
              </w:rPr>
            </w:pPr>
          </w:p>
        </w:tc>
        <w:tc>
          <w:tcPr>
            <w:tcW w:w="1112" w:type="dxa"/>
          </w:tcPr>
          <w:p w14:paraId="762DF954">
            <w:pPr>
              <w:spacing w:line="360" w:lineRule="auto"/>
              <w:jc w:val="center"/>
              <w:rPr>
                <w:rFonts w:hAnsi="宋体" w:cs="宋体"/>
                <w:szCs w:val="24"/>
              </w:rPr>
            </w:pPr>
          </w:p>
        </w:tc>
        <w:tc>
          <w:tcPr>
            <w:tcW w:w="978" w:type="dxa"/>
          </w:tcPr>
          <w:p w14:paraId="655ECBE5">
            <w:pPr>
              <w:spacing w:line="360" w:lineRule="auto"/>
              <w:jc w:val="center"/>
              <w:rPr>
                <w:rFonts w:hAnsi="宋体" w:cs="宋体"/>
                <w:szCs w:val="24"/>
              </w:rPr>
            </w:pPr>
          </w:p>
        </w:tc>
      </w:tr>
      <w:tr w14:paraId="3C53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77" w:type="dxa"/>
            <w:vMerge w:val="continue"/>
            <w:vAlign w:val="center"/>
          </w:tcPr>
          <w:p w14:paraId="57D186D4">
            <w:pPr>
              <w:spacing w:line="360" w:lineRule="auto"/>
              <w:rPr>
                <w:rFonts w:hAnsi="宋体" w:cs="宋体"/>
                <w:szCs w:val="24"/>
              </w:rPr>
            </w:pPr>
          </w:p>
        </w:tc>
        <w:tc>
          <w:tcPr>
            <w:tcW w:w="1066" w:type="dxa"/>
          </w:tcPr>
          <w:p w14:paraId="419BE66E">
            <w:pPr>
              <w:spacing w:line="360" w:lineRule="auto"/>
              <w:jc w:val="center"/>
              <w:rPr>
                <w:rFonts w:hAnsi="宋体" w:cs="宋体"/>
                <w:szCs w:val="24"/>
              </w:rPr>
            </w:pPr>
          </w:p>
        </w:tc>
        <w:tc>
          <w:tcPr>
            <w:tcW w:w="1066" w:type="dxa"/>
          </w:tcPr>
          <w:p w14:paraId="0241B2CE">
            <w:pPr>
              <w:spacing w:line="360" w:lineRule="auto"/>
              <w:jc w:val="center"/>
              <w:rPr>
                <w:rFonts w:hAnsi="宋体" w:cs="宋体"/>
                <w:szCs w:val="24"/>
              </w:rPr>
            </w:pPr>
          </w:p>
        </w:tc>
        <w:tc>
          <w:tcPr>
            <w:tcW w:w="1067" w:type="dxa"/>
          </w:tcPr>
          <w:p w14:paraId="338613AD">
            <w:pPr>
              <w:spacing w:line="360" w:lineRule="auto"/>
              <w:jc w:val="center"/>
              <w:rPr>
                <w:rFonts w:hAnsi="宋体" w:cs="宋体"/>
                <w:szCs w:val="24"/>
              </w:rPr>
            </w:pPr>
          </w:p>
        </w:tc>
        <w:tc>
          <w:tcPr>
            <w:tcW w:w="1066" w:type="dxa"/>
          </w:tcPr>
          <w:p w14:paraId="406DCA05">
            <w:pPr>
              <w:spacing w:line="360" w:lineRule="auto"/>
              <w:jc w:val="center"/>
              <w:rPr>
                <w:rFonts w:hAnsi="宋体" w:cs="宋体"/>
                <w:szCs w:val="24"/>
              </w:rPr>
            </w:pPr>
          </w:p>
        </w:tc>
        <w:tc>
          <w:tcPr>
            <w:tcW w:w="1391" w:type="dxa"/>
          </w:tcPr>
          <w:p w14:paraId="0FFB4FC9">
            <w:pPr>
              <w:spacing w:line="360" w:lineRule="auto"/>
              <w:jc w:val="center"/>
              <w:rPr>
                <w:rFonts w:hAnsi="宋体" w:cs="宋体"/>
                <w:szCs w:val="24"/>
              </w:rPr>
            </w:pPr>
          </w:p>
        </w:tc>
        <w:tc>
          <w:tcPr>
            <w:tcW w:w="976" w:type="dxa"/>
          </w:tcPr>
          <w:p w14:paraId="25F96E83">
            <w:pPr>
              <w:spacing w:line="360" w:lineRule="auto"/>
              <w:jc w:val="center"/>
              <w:rPr>
                <w:rFonts w:hAnsi="宋体" w:cs="宋体"/>
                <w:szCs w:val="24"/>
              </w:rPr>
            </w:pPr>
          </w:p>
        </w:tc>
        <w:tc>
          <w:tcPr>
            <w:tcW w:w="1112" w:type="dxa"/>
          </w:tcPr>
          <w:p w14:paraId="5705EC05">
            <w:pPr>
              <w:spacing w:line="360" w:lineRule="auto"/>
              <w:jc w:val="center"/>
              <w:rPr>
                <w:rFonts w:hAnsi="宋体" w:cs="宋体"/>
                <w:szCs w:val="24"/>
              </w:rPr>
            </w:pPr>
          </w:p>
        </w:tc>
        <w:tc>
          <w:tcPr>
            <w:tcW w:w="978" w:type="dxa"/>
          </w:tcPr>
          <w:p w14:paraId="0E800DF6">
            <w:pPr>
              <w:spacing w:line="360" w:lineRule="auto"/>
              <w:jc w:val="center"/>
              <w:rPr>
                <w:rFonts w:hAnsi="宋体" w:cs="宋体"/>
                <w:szCs w:val="24"/>
              </w:rPr>
            </w:pPr>
          </w:p>
        </w:tc>
      </w:tr>
      <w:tr w14:paraId="7F7C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77" w:type="dxa"/>
            <w:vMerge w:val="continue"/>
            <w:vAlign w:val="center"/>
          </w:tcPr>
          <w:p w14:paraId="1ABF3CED">
            <w:pPr>
              <w:spacing w:line="360" w:lineRule="auto"/>
              <w:rPr>
                <w:rFonts w:hAnsi="宋体" w:cs="宋体"/>
                <w:szCs w:val="24"/>
              </w:rPr>
            </w:pPr>
          </w:p>
        </w:tc>
        <w:tc>
          <w:tcPr>
            <w:tcW w:w="1066" w:type="dxa"/>
          </w:tcPr>
          <w:p w14:paraId="62F1761F">
            <w:pPr>
              <w:spacing w:line="360" w:lineRule="auto"/>
              <w:jc w:val="center"/>
              <w:rPr>
                <w:rFonts w:hAnsi="宋体" w:cs="宋体"/>
                <w:szCs w:val="24"/>
              </w:rPr>
            </w:pPr>
          </w:p>
        </w:tc>
        <w:tc>
          <w:tcPr>
            <w:tcW w:w="1066" w:type="dxa"/>
          </w:tcPr>
          <w:p w14:paraId="5142E2C2">
            <w:pPr>
              <w:spacing w:line="360" w:lineRule="auto"/>
              <w:jc w:val="center"/>
              <w:rPr>
                <w:rFonts w:hAnsi="宋体" w:cs="宋体"/>
                <w:szCs w:val="24"/>
              </w:rPr>
            </w:pPr>
          </w:p>
        </w:tc>
        <w:tc>
          <w:tcPr>
            <w:tcW w:w="1067" w:type="dxa"/>
          </w:tcPr>
          <w:p w14:paraId="7221619A">
            <w:pPr>
              <w:spacing w:line="360" w:lineRule="auto"/>
              <w:jc w:val="center"/>
              <w:rPr>
                <w:rFonts w:hAnsi="宋体" w:cs="宋体"/>
                <w:szCs w:val="24"/>
              </w:rPr>
            </w:pPr>
          </w:p>
        </w:tc>
        <w:tc>
          <w:tcPr>
            <w:tcW w:w="1066" w:type="dxa"/>
          </w:tcPr>
          <w:p w14:paraId="505DCE84">
            <w:pPr>
              <w:spacing w:line="360" w:lineRule="auto"/>
              <w:jc w:val="center"/>
              <w:rPr>
                <w:rFonts w:hAnsi="宋体" w:cs="宋体"/>
                <w:szCs w:val="24"/>
              </w:rPr>
            </w:pPr>
          </w:p>
        </w:tc>
        <w:tc>
          <w:tcPr>
            <w:tcW w:w="1391" w:type="dxa"/>
          </w:tcPr>
          <w:p w14:paraId="06F3C25C">
            <w:pPr>
              <w:spacing w:line="360" w:lineRule="auto"/>
              <w:jc w:val="center"/>
              <w:rPr>
                <w:rFonts w:hAnsi="宋体" w:cs="宋体"/>
                <w:szCs w:val="24"/>
              </w:rPr>
            </w:pPr>
          </w:p>
        </w:tc>
        <w:tc>
          <w:tcPr>
            <w:tcW w:w="976" w:type="dxa"/>
          </w:tcPr>
          <w:p w14:paraId="55E9271B">
            <w:pPr>
              <w:spacing w:line="360" w:lineRule="auto"/>
              <w:jc w:val="center"/>
              <w:rPr>
                <w:rFonts w:hAnsi="宋体" w:cs="宋体"/>
                <w:szCs w:val="24"/>
              </w:rPr>
            </w:pPr>
          </w:p>
        </w:tc>
        <w:tc>
          <w:tcPr>
            <w:tcW w:w="1112" w:type="dxa"/>
          </w:tcPr>
          <w:p w14:paraId="4BD668CA">
            <w:pPr>
              <w:spacing w:line="360" w:lineRule="auto"/>
              <w:jc w:val="center"/>
              <w:rPr>
                <w:rFonts w:hAnsi="宋体" w:cs="宋体"/>
                <w:szCs w:val="24"/>
              </w:rPr>
            </w:pPr>
          </w:p>
        </w:tc>
        <w:tc>
          <w:tcPr>
            <w:tcW w:w="978" w:type="dxa"/>
          </w:tcPr>
          <w:p w14:paraId="76A7071A">
            <w:pPr>
              <w:spacing w:line="360" w:lineRule="auto"/>
              <w:jc w:val="center"/>
              <w:rPr>
                <w:rFonts w:hAnsi="宋体" w:cs="宋体"/>
                <w:szCs w:val="24"/>
              </w:rPr>
            </w:pPr>
          </w:p>
        </w:tc>
      </w:tr>
      <w:tr w14:paraId="0C717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77" w:type="dxa"/>
            <w:vMerge w:val="continue"/>
            <w:vAlign w:val="center"/>
          </w:tcPr>
          <w:p w14:paraId="16063B99">
            <w:pPr>
              <w:spacing w:line="360" w:lineRule="auto"/>
              <w:rPr>
                <w:rFonts w:hAnsi="宋体" w:cs="宋体"/>
                <w:szCs w:val="24"/>
              </w:rPr>
            </w:pPr>
          </w:p>
        </w:tc>
        <w:tc>
          <w:tcPr>
            <w:tcW w:w="1066" w:type="dxa"/>
          </w:tcPr>
          <w:p w14:paraId="596502C8">
            <w:pPr>
              <w:spacing w:line="360" w:lineRule="auto"/>
              <w:jc w:val="center"/>
              <w:rPr>
                <w:rFonts w:hAnsi="宋体" w:cs="宋体"/>
                <w:szCs w:val="24"/>
              </w:rPr>
            </w:pPr>
          </w:p>
        </w:tc>
        <w:tc>
          <w:tcPr>
            <w:tcW w:w="1066" w:type="dxa"/>
          </w:tcPr>
          <w:p w14:paraId="6EBCC659">
            <w:pPr>
              <w:spacing w:line="360" w:lineRule="auto"/>
              <w:jc w:val="center"/>
              <w:rPr>
                <w:rFonts w:hAnsi="宋体" w:cs="宋体"/>
                <w:szCs w:val="24"/>
              </w:rPr>
            </w:pPr>
          </w:p>
        </w:tc>
        <w:tc>
          <w:tcPr>
            <w:tcW w:w="1067" w:type="dxa"/>
          </w:tcPr>
          <w:p w14:paraId="6E5843B4">
            <w:pPr>
              <w:spacing w:line="360" w:lineRule="auto"/>
              <w:jc w:val="center"/>
              <w:rPr>
                <w:rFonts w:hAnsi="宋体" w:cs="宋体"/>
                <w:szCs w:val="24"/>
              </w:rPr>
            </w:pPr>
          </w:p>
        </w:tc>
        <w:tc>
          <w:tcPr>
            <w:tcW w:w="1066" w:type="dxa"/>
          </w:tcPr>
          <w:p w14:paraId="201C6CE2">
            <w:pPr>
              <w:spacing w:line="360" w:lineRule="auto"/>
              <w:jc w:val="center"/>
              <w:rPr>
                <w:rFonts w:hAnsi="宋体" w:cs="宋体"/>
                <w:szCs w:val="24"/>
              </w:rPr>
            </w:pPr>
          </w:p>
        </w:tc>
        <w:tc>
          <w:tcPr>
            <w:tcW w:w="1391" w:type="dxa"/>
          </w:tcPr>
          <w:p w14:paraId="19AB30BF">
            <w:pPr>
              <w:spacing w:line="360" w:lineRule="auto"/>
              <w:jc w:val="center"/>
              <w:rPr>
                <w:rFonts w:hAnsi="宋体" w:cs="宋体"/>
                <w:szCs w:val="24"/>
              </w:rPr>
            </w:pPr>
          </w:p>
        </w:tc>
        <w:tc>
          <w:tcPr>
            <w:tcW w:w="976" w:type="dxa"/>
          </w:tcPr>
          <w:p w14:paraId="3E5B1A30">
            <w:pPr>
              <w:spacing w:line="360" w:lineRule="auto"/>
              <w:jc w:val="center"/>
              <w:rPr>
                <w:rFonts w:hAnsi="宋体" w:cs="宋体"/>
                <w:szCs w:val="24"/>
              </w:rPr>
            </w:pPr>
          </w:p>
        </w:tc>
        <w:tc>
          <w:tcPr>
            <w:tcW w:w="1112" w:type="dxa"/>
          </w:tcPr>
          <w:p w14:paraId="7287C1AB">
            <w:pPr>
              <w:spacing w:line="360" w:lineRule="auto"/>
              <w:jc w:val="center"/>
              <w:rPr>
                <w:rFonts w:hAnsi="宋体" w:cs="宋体"/>
                <w:szCs w:val="24"/>
              </w:rPr>
            </w:pPr>
          </w:p>
        </w:tc>
        <w:tc>
          <w:tcPr>
            <w:tcW w:w="978" w:type="dxa"/>
          </w:tcPr>
          <w:p w14:paraId="49942D3E">
            <w:pPr>
              <w:spacing w:line="360" w:lineRule="auto"/>
              <w:jc w:val="center"/>
              <w:rPr>
                <w:rFonts w:hAnsi="宋体" w:cs="宋体"/>
                <w:szCs w:val="24"/>
              </w:rPr>
            </w:pPr>
          </w:p>
        </w:tc>
      </w:tr>
      <w:tr w14:paraId="4581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77" w:type="dxa"/>
            <w:vMerge w:val="restart"/>
            <w:vAlign w:val="center"/>
          </w:tcPr>
          <w:p w14:paraId="09EDAB71">
            <w:pPr>
              <w:spacing w:line="360" w:lineRule="auto"/>
              <w:jc w:val="center"/>
              <w:rPr>
                <w:rFonts w:hAnsi="宋体" w:cs="宋体"/>
                <w:szCs w:val="24"/>
              </w:rPr>
            </w:pPr>
            <w:r>
              <w:rPr>
                <w:rFonts w:hAnsi="宋体" w:cs="宋体"/>
                <w:szCs w:val="24"/>
              </w:rPr>
              <w:t>服务人员</w:t>
            </w:r>
          </w:p>
        </w:tc>
        <w:tc>
          <w:tcPr>
            <w:tcW w:w="1066" w:type="dxa"/>
          </w:tcPr>
          <w:p w14:paraId="3FAF2562">
            <w:pPr>
              <w:spacing w:line="360" w:lineRule="auto"/>
              <w:jc w:val="center"/>
              <w:rPr>
                <w:rFonts w:hAnsi="宋体" w:cs="宋体"/>
                <w:szCs w:val="24"/>
              </w:rPr>
            </w:pPr>
          </w:p>
        </w:tc>
        <w:tc>
          <w:tcPr>
            <w:tcW w:w="1066" w:type="dxa"/>
          </w:tcPr>
          <w:p w14:paraId="4C61547B">
            <w:pPr>
              <w:spacing w:line="360" w:lineRule="auto"/>
              <w:jc w:val="center"/>
              <w:rPr>
                <w:rFonts w:hAnsi="宋体" w:cs="宋体"/>
                <w:szCs w:val="24"/>
              </w:rPr>
            </w:pPr>
          </w:p>
        </w:tc>
        <w:tc>
          <w:tcPr>
            <w:tcW w:w="1067" w:type="dxa"/>
          </w:tcPr>
          <w:p w14:paraId="670F0D20">
            <w:pPr>
              <w:spacing w:line="360" w:lineRule="auto"/>
              <w:jc w:val="center"/>
              <w:rPr>
                <w:rFonts w:hAnsi="宋体" w:cs="宋体"/>
                <w:szCs w:val="24"/>
              </w:rPr>
            </w:pPr>
          </w:p>
        </w:tc>
        <w:tc>
          <w:tcPr>
            <w:tcW w:w="1066" w:type="dxa"/>
          </w:tcPr>
          <w:p w14:paraId="6E740A74">
            <w:pPr>
              <w:spacing w:line="360" w:lineRule="auto"/>
              <w:jc w:val="center"/>
              <w:rPr>
                <w:rFonts w:hAnsi="宋体" w:cs="宋体"/>
                <w:szCs w:val="24"/>
              </w:rPr>
            </w:pPr>
          </w:p>
        </w:tc>
        <w:tc>
          <w:tcPr>
            <w:tcW w:w="1391" w:type="dxa"/>
          </w:tcPr>
          <w:p w14:paraId="24BAAE47">
            <w:pPr>
              <w:spacing w:line="360" w:lineRule="auto"/>
              <w:jc w:val="center"/>
              <w:rPr>
                <w:rFonts w:hAnsi="宋体" w:cs="宋体"/>
                <w:szCs w:val="24"/>
              </w:rPr>
            </w:pPr>
          </w:p>
        </w:tc>
        <w:tc>
          <w:tcPr>
            <w:tcW w:w="976" w:type="dxa"/>
          </w:tcPr>
          <w:p w14:paraId="52A339BB">
            <w:pPr>
              <w:spacing w:line="360" w:lineRule="auto"/>
              <w:jc w:val="center"/>
              <w:rPr>
                <w:rFonts w:hAnsi="宋体" w:cs="宋体"/>
                <w:szCs w:val="24"/>
              </w:rPr>
            </w:pPr>
          </w:p>
        </w:tc>
        <w:tc>
          <w:tcPr>
            <w:tcW w:w="1112" w:type="dxa"/>
          </w:tcPr>
          <w:p w14:paraId="453378B1">
            <w:pPr>
              <w:spacing w:line="360" w:lineRule="auto"/>
              <w:jc w:val="center"/>
              <w:rPr>
                <w:rFonts w:hAnsi="宋体" w:cs="宋体"/>
                <w:szCs w:val="24"/>
              </w:rPr>
            </w:pPr>
          </w:p>
        </w:tc>
        <w:tc>
          <w:tcPr>
            <w:tcW w:w="978" w:type="dxa"/>
          </w:tcPr>
          <w:p w14:paraId="161A823A">
            <w:pPr>
              <w:spacing w:line="360" w:lineRule="auto"/>
              <w:jc w:val="center"/>
              <w:rPr>
                <w:rFonts w:hAnsi="宋体" w:cs="宋体"/>
                <w:szCs w:val="24"/>
              </w:rPr>
            </w:pPr>
          </w:p>
        </w:tc>
      </w:tr>
      <w:tr w14:paraId="366C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77" w:type="dxa"/>
            <w:vMerge w:val="continue"/>
          </w:tcPr>
          <w:p w14:paraId="61F8E4F4">
            <w:pPr>
              <w:spacing w:line="360" w:lineRule="auto"/>
              <w:rPr>
                <w:rFonts w:hAnsi="宋体" w:cs="宋体"/>
                <w:szCs w:val="24"/>
              </w:rPr>
            </w:pPr>
          </w:p>
        </w:tc>
        <w:tc>
          <w:tcPr>
            <w:tcW w:w="1066" w:type="dxa"/>
          </w:tcPr>
          <w:p w14:paraId="2FC0F79C">
            <w:pPr>
              <w:spacing w:line="360" w:lineRule="auto"/>
              <w:jc w:val="center"/>
              <w:rPr>
                <w:rFonts w:hAnsi="宋体" w:cs="宋体"/>
                <w:szCs w:val="24"/>
              </w:rPr>
            </w:pPr>
          </w:p>
        </w:tc>
        <w:tc>
          <w:tcPr>
            <w:tcW w:w="1066" w:type="dxa"/>
          </w:tcPr>
          <w:p w14:paraId="173A860F">
            <w:pPr>
              <w:spacing w:line="360" w:lineRule="auto"/>
              <w:jc w:val="center"/>
              <w:rPr>
                <w:rFonts w:hAnsi="宋体" w:cs="宋体"/>
                <w:b/>
                <w:bCs/>
                <w:szCs w:val="24"/>
              </w:rPr>
            </w:pPr>
          </w:p>
        </w:tc>
        <w:tc>
          <w:tcPr>
            <w:tcW w:w="1067" w:type="dxa"/>
          </w:tcPr>
          <w:p w14:paraId="3FF954BA">
            <w:pPr>
              <w:spacing w:line="360" w:lineRule="auto"/>
              <w:jc w:val="center"/>
              <w:rPr>
                <w:rFonts w:hAnsi="宋体" w:cs="宋体"/>
                <w:b/>
                <w:bCs/>
                <w:szCs w:val="24"/>
              </w:rPr>
            </w:pPr>
          </w:p>
        </w:tc>
        <w:tc>
          <w:tcPr>
            <w:tcW w:w="1066" w:type="dxa"/>
          </w:tcPr>
          <w:p w14:paraId="6DAD2554">
            <w:pPr>
              <w:spacing w:line="360" w:lineRule="auto"/>
              <w:jc w:val="center"/>
              <w:rPr>
                <w:rFonts w:hAnsi="宋体" w:cs="宋体"/>
                <w:b/>
                <w:bCs/>
                <w:szCs w:val="24"/>
              </w:rPr>
            </w:pPr>
          </w:p>
        </w:tc>
        <w:tc>
          <w:tcPr>
            <w:tcW w:w="1391" w:type="dxa"/>
          </w:tcPr>
          <w:p w14:paraId="67B576D6">
            <w:pPr>
              <w:spacing w:line="360" w:lineRule="auto"/>
              <w:jc w:val="center"/>
              <w:rPr>
                <w:rFonts w:hAnsi="宋体" w:cs="宋体"/>
                <w:b/>
                <w:bCs/>
                <w:szCs w:val="24"/>
              </w:rPr>
            </w:pPr>
          </w:p>
        </w:tc>
        <w:tc>
          <w:tcPr>
            <w:tcW w:w="976" w:type="dxa"/>
          </w:tcPr>
          <w:p w14:paraId="68C2E10B">
            <w:pPr>
              <w:spacing w:line="360" w:lineRule="auto"/>
              <w:jc w:val="center"/>
              <w:rPr>
                <w:rFonts w:hAnsi="宋体" w:cs="宋体"/>
                <w:b/>
                <w:bCs/>
                <w:szCs w:val="24"/>
              </w:rPr>
            </w:pPr>
          </w:p>
        </w:tc>
        <w:tc>
          <w:tcPr>
            <w:tcW w:w="1112" w:type="dxa"/>
          </w:tcPr>
          <w:p w14:paraId="08D996A9">
            <w:pPr>
              <w:spacing w:line="360" w:lineRule="auto"/>
              <w:jc w:val="center"/>
              <w:rPr>
                <w:rFonts w:hAnsi="宋体" w:cs="宋体"/>
                <w:b/>
                <w:bCs/>
                <w:szCs w:val="24"/>
              </w:rPr>
            </w:pPr>
          </w:p>
        </w:tc>
        <w:tc>
          <w:tcPr>
            <w:tcW w:w="978" w:type="dxa"/>
          </w:tcPr>
          <w:p w14:paraId="08582EA4">
            <w:pPr>
              <w:spacing w:line="360" w:lineRule="auto"/>
              <w:jc w:val="center"/>
              <w:rPr>
                <w:rFonts w:hAnsi="宋体" w:cs="宋体"/>
                <w:b/>
                <w:bCs/>
                <w:szCs w:val="24"/>
              </w:rPr>
            </w:pPr>
          </w:p>
        </w:tc>
      </w:tr>
      <w:tr w14:paraId="4D00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77" w:type="dxa"/>
            <w:vMerge w:val="continue"/>
          </w:tcPr>
          <w:p w14:paraId="611B4298">
            <w:pPr>
              <w:spacing w:line="360" w:lineRule="auto"/>
              <w:rPr>
                <w:rFonts w:hAnsi="宋体" w:cs="宋体"/>
                <w:szCs w:val="24"/>
              </w:rPr>
            </w:pPr>
          </w:p>
        </w:tc>
        <w:tc>
          <w:tcPr>
            <w:tcW w:w="1066" w:type="dxa"/>
          </w:tcPr>
          <w:p w14:paraId="1D5807D9">
            <w:pPr>
              <w:spacing w:line="360" w:lineRule="auto"/>
              <w:jc w:val="center"/>
              <w:rPr>
                <w:rFonts w:hAnsi="宋体" w:cs="宋体"/>
                <w:szCs w:val="24"/>
              </w:rPr>
            </w:pPr>
          </w:p>
        </w:tc>
        <w:tc>
          <w:tcPr>
            <w:tcW w:w="1066" w:type="dxa"/>
          </w:tcPr>
          <w:p w14:paraId="4BED045A">
            <w:pPr>
              <w:spacing w:line="360" w:lineRule="auto"/>
              <w:jc w:val="center"/>
              <w:rPr>
                <w:rFonts w:hAnsi="宋体" w:cs="宋体"/>
                <w:b/>
                <w:bCs/>
                <w:szCs w:val="24"/>
              </w:rPr>
            </w:pPr>
          </w:p>
        </w:tc>
        <w:tc>
          <w:tcPr>
            <w:tcW w:w="1067" w:type="dxa"/>
          </w:tcPr>
          <w:p w14:paraId="785E616D">
            <w:pPr>
              <w:spacing w:line="360" w:lineRule="auto"/>
              <w:jc w:val="center"/>
              <w:rPr>
                <w:rFonts w:hAnsi="宋体" w:cs="宋体"/>
                <w:b/>
                <w:bCs/>
                <w:szCs w:val="24"/>
              </w:rPr>
            </w:pPr>
          </w:p>
        </w:tc>
        <w:tc>
          <w:tcPr>
            <w:tcW w:w="1066" w:type="dxa"/>
          </w:tcPr>
          <w:p w14:paraId="5F07EB4A">
            <w:pPr>
              <w:spacing w:line="360" w:lineRule="auto"/>
              <w:jc w:val="center"/>
              <w:rPr>
                <w:rFonts w:hAnsi="宋体" w:cs="宋体"/>
                <w:b/>
                <w:bCs/>
                <w:szCs w:val="24"/>
              </w:rPr>
            </w:pPr>
          </w:p>
        </w:tc>
        <w:tc>
          <w:tcPr>
            <w:tcW w:w="1391" w:type="dxa"/>
          </w:tcPr>
          <w:p w14:paraId="6F1ADEEE">
            <w:pPr>
              <w:spacing w:line="360" w:lineRule="auto"/>
              <w:jc w:val="center"/>
              <w:rPr>
                <w:rFonts w:hAnsi="宋体" w:cs="宋体"/>
                <w:b/>
                <w:bCs/>
                <w:szCs w:val="24"/>
              </w:rPr>
            </w:pPr>
          </w:p>
        </w:tc>
        <w:tc>
          <w:tcPr>
            <w:tcW w:w="976" w:type="dxa"/>
          </w:tcPr>
          <w:p w14:paraId="39477C34">
            <w:pPr>
              <w:spacing w:line="360" w:lineRule="auto"/>
              <w:jc w:val="center"/>
              <w:rPr>
                <w:rFonts w:hAnsi="宋体" w:cs="宋体"/>
                <w:b/>
                <w:bCs/>
                <w:szCs w:val="24"/>
              </w:rPr>
            </w:pPr>
          </w:p>
        </w:tc>
        <w:tc>
          <w:tcPr>
            <w:tcW w:w="1112" w:type="dxa"/>
          </w:tcPr>
          <w:p w14:paraId="5522F1BD">
            <w:pPr>
              <w:spacing w:line="360" w:lineRule="auto"/>
              <w:jc w:val="center"/>
              <w:rPr>
                <w:rFonts w:hAnsi="宋体" w:cs="宋体"/>
                <w:b/>
                <w:bCs/>
                <w:szCs w:val="24"/>
              </w:rPr>
            </w:pPr>
          </w:p>
        </w:tc>
        <w:tc>
          <w:tcPr>
            <w:tcW w:w="978" w:type="dxa"/>
          </w:tcPr>
          <w:p w14:paraId="32405A95">
            <w:pPr>
              <w:spacing w:line="360" w:lineRule="auto"/>
              <w:jc w:val="center"/>
              <w:rPr>
                <w:rFonts w:hAnsi="宋体" w:cs="宋体"/>
                <w:b/>
                <w:bCs/>
                <w:szCs w:val="24"/>
              </w:rPr>
            </w:pPr>
          </w:p>
        </w:tc>
      </w:tr>
    </w:tbl>
    <w:p w14:paraId="41C85471">
      <w:pPr>
        <w:pStyle w:val="8"/>
        <w:spacing w:line="360" w:lineRule="auto"/>
        <w:rPr>
          <w:rFonts w:ascii="宋体" w:hAnsi="宋体" w:eastAsia="宋体" w:cs="宋体"/>
          <w:sz w:val="24"/>
          <w:szCs w:val="24"/>
        </w:rPr>
      </w:pPr>
    </w:p>
    <w:p w14:paraId="711F891B">
      <w:pPr>
        <w:pStyle w:val="8"/>
        <w:spacing w:line="360" w:lineRule="auto"/>
        <w:rPr>
          <w:rFonts w:ascii="宋体" w:hAnsi="宋体" w:eastAsia="宋体" w:cs="宋体"/>
          <w:sz w:val="24"/>
          <w:szCs w:val="24"/>
        </w:rPr>
      </w:pPr>
    </w:p>
    <w:p w14:paraId="1935CA21">
      <w:pPr>
        <w:spacing w:line="360" w:lineRule="auto"/>
        <w:ind w:firstLine="470" w:firstLineChars="196"/>
        <w:rPr>
          <w:rFonts w:hAnsi="宋体" w:cs="宋体"/>
          <w:szCs w:val="24"/>
        </w:rPr>
      </w:pPr>
      <w:r>
        <w:rPr>
          <w:rFonts w:hint="eastAsia" w:hAnsi="宋体" w:cs="宋体"/>
          <w:szCs w:val="24"/>
        </w:rPr>
        <w:t>供应商名称：（单位公章）</w:t>
      </w:r>
    </w:p>
    <w:p w14:paraId="1E79439F">
      <w:pPr>
        <w:spacing w:line="360" w:lineRule="auto"/>
        <w:ind w:firstLine="470" w:firstLineChars="196"/>
        <w:rPr>
          <w:rFonts w:hAnsi="宋体" w:cs="宋体"/>
          <w:szCs w:val="24"/>
        </w:rPr>
      </w:pPr>
      <w:r>
        <w:rPr>
          <w:rFonts w:hint="eastAsia" w:hAnsi="宋体" w:cs="宋体"/>
          <w:szCs w:val="24"/>
        </w:rPr>
        <w:t>法定代表人或授权代理人（签字或盖章）：</w:t>
      </w:r>
    </w:p>
    <w:p w14:paraId="2D282E87">
      <w:pPr>
        <w:spacing w:line="360" w:lineRule="auto"/>
        <w:ind w:firstLine="470" w:firstLineChars="196"/>
        <w:rPr>
          <w:rFonts w:hAnsi="宋体" w:cs="宋体"/>
          <w:szCs w:val="24"/>
        </w:rPr>
      </w:pPr>
      <w:r>
        <w:rPr>
          <w:rFonts w:hint="eastAsia" w:hAnsi="宋体" w:cs="宋体"/>
          <w:szCs w:val="24"/>
        </w:rPr>
        <w:t>日    期：</w:t>
      </w:r>
    </w:p>
    <w:p w14:paraId="7647B413">
      <w:pPr>
        <w:adjustRightInd w:val="0"/>
        <w:spacing w:line="360" w:lineRule="auto"/>
        <w:ind w:firstLine="360" w:firstLineChars="150"/>
        <w:jc w:val="left"/>
        <w:rPr>
          <w:rFonts w:hAnsi="宋体" w:cs="宋体"/>
          <w:bCs/>
          <w:szCs w:val="24"/>
        </w:rPr>
      </w:pPr>
    </w:p>
    <w:p w14:paraId="52AED454">
      <w:pPr>
        <w:adjustRightInd w:val="0"/>
        <w:spacing w:line="360" w:lineRule="auto"/>
        <w:ind w:firstLine="360" w:firstLineChars="150"/>
        <w:jc w:val="left"/>
        <w:rPr>
          <w:rFonts w:hAnsi="宋体" w:cs="宋体"/>
          <w:bCs/>
          <w:szCs w:val="24"/>
        </w:rPr>
      </w:pPr>
    </w:p>
    <w:bookmarkEnd w:id="316"/>
    <w:bookmarkEnd w:id="317"/>
    <w:bookmarkEnd w:id="318"/>
    <w:bookmarkEnd w:id="319"/>
    <w:bookmarkEnd w:id="368"/>
    <w:bookmarkEnd w:id="369"/>
    <w:bookmarkEnd w:id="370"/>
    <w:bookmarkEnd w:id="371"/>
    <w:bookmarkEnd w:id="372"/>
    <w:bookmarkEnd w:id="472"/>
    <w:bookmarkEnd w:id="473"/>
    <w:p w14:paraId="201286E4">
      <w:pPr>
        <w:widowControl/>
        <w:jc w:val="left"/>
        <w:rPr>
          <w:rFonts w:ascii="华文中宋" w:eastAsia="华文中宋"/>
          <w:bCs/>
          <w:szCs w:val="24"/>
        </w:rPr>
      </w:pPr>
      <w:bookmarkStart w:id="474" w:name="_Toc11764039"/>
      <w:bookmarkStart w:id="475" w:name="_Toc11832151"/>
      <w:bookmarkStart w:id="476" w:name="_Toc86663248"/>
      <w:bookmarkStart w:id="477" w:name="_Toc13564309"/>
      <w:bookmarkStart w:id="478" w:name="_Toc31690"/>
      <w:bookmarkStart w:id="479" w:name="_Toc14059"/>
      <w:r>
        <w:rPr>
          <w:rFonts w:ascii="华文中宋" w:eastAsia="华文中宋"/>
          <w:b/>
          <w:szCs w:val="24"/>
        </w:rPr>
        <w:br w:type="page"/>
      </w:r>
    </w:p>
    <w:bookmarkEnd w:id="474"/>
    <w:bookmarkEnd w:id="475"/>
    <w:bookmarkEnd w:id="476"/>
    <w:bookmarkEnd w:id="477"/>
    <w:p w14:paraId="14B24906">
      <w:pPr>
        <w:pStyle w:val="4"/>
        <w:spacing w:before="0" w:after="0" w:line="360" w:lineRule="auto"/>
        <w:jc w:val="center"/>
      </w:pPr>
      <w:bookmarkStart w:id="480" w:name="_Toc27184"/>
      <w:bookmarkStart w:id="481" w:name="_Toc4887"/>
      <w:bookmarkStart w:id="482" w:name="_Toc11683"/>
      <w:bookmarkStart w:id="483" w:name="_Toc10706"/>
      <w:bookmarkStart w:id="484" w:name="_Toc170477132"/>
      <w:bookmarkStart w:id="485" w:name="_Toc138168025"/>
      <w:r>
        <w:rPr>
          <w:rFonts w:hint="eastAsia"/>
        </w:rPr>
        <w:t>九、</w:t>
      </w:r>
      <w:bookmarkEnd w:id="480"/>
      <w:bookmarkEnd w:id="481"/>
      <w:bookmarkEnd w:id="482"/>
      <w:bookmarkStart w:id="486" w:name="_Toc18897"/>
      <w:bookmarkStart w:id="487" w:name="_Toc5536"/>
      <w:bookmarkStart w:id="488" w:name="_Toc1804"/>
      <w:bookmarkStart w:id="489" w:name="_Toc4899"/>
      <w:bookmarkStart w:id="490" w:name="_Toc30614"/>
      <w:r>
        <w:rPr>
          <w:rFonts w:hint="eastAsia"/>
        </w:rPr>
        <w:t>诚信行为声明函-1</w:t>
      </w:r>
      <w:bookmarkEnd w:id="483"/>
      <w:bookmarkEnd w:id="484"/>
      <w:bookmarkEnd w:id="485"/>
    </w:p>
    <w:p w14:paraId="64140D49">
      <w:pPr>
        <w:adjustRightInd w:val="0"/>
        <w:spacing w:line="360" w:lineRule="auto"/>
        <w:ind w:right="480" w:rightChars="200"/>
        <w:jc w:val="left"/>
        <w:rPr>
          <w:rFonts w:hAnsi="宋体" w:cs="宋体"/>
          <w:spacing w:val="8"/>
          <w:sz w:val="28"/>
          <w:szCs w:val="28"/>
          <w:u w:val="single"/>
        </w:rPr>
      </w:pPr>
    </w:p>
    <w:p w14:paraId="37227DA4">
      <w:pPr>
        <w:adjustRightInd w:val="0"/>
        <w:spacing w:line="360" w:lineRule="auto"/>
        <w:ind w:right="480" w:rightChars="200"/>
        <w:jc w:val="left"/>
        <w:rPr>
          <w:rFonts w:hAnsi="宋体" w:cs="宋体"/>
          <w:spacing w:val="8"/>
          <w:szCs w:val="24"/>
        </w:rPr>
      </w:pPr>
      <w:r>
        <w:rPr>
          <w:rFonts w:hint="eastAsia" w:hAnsi="宋体" w:cs="宋体"/>
          <w:spacing w:val="8"/>
          <w:szCs w:val="24"/>
          <w:u w:val="single"/>
        </w:rPr>
        <w:t xml:space="preserve">             （采购人名称、采购代理机构名称）</w:t>
      </w:r>
      <w:r>
        <w:rPr>
          <w:rFonts w:hint="eastAsia" w:hAnsi="宋体" w:cs="宋体"/>
          <w:spacing w:val="8"/>
          <w:szCs w:val="24"/>
        </w:rPr>
        <w:t>：</w:t>
      </w:r>
    </w:p>
    <w:p w14:paraId="197F8801">
      <w:pPr>
        <w:adjustRightInd w:val="0"/>
        <w:snapToGrid w:val="0"/>
        <w:spacing w:line="360" w:lineRule="auto"/>
        <w:ind w:firstLine="480" w:firstLineChars="200"/>
        <w:rPr>
          <w:rFonts w:hAnsi="宋体"/>
        </w:rPr>
      </w:pPr>
      <w:r>
        <w:rPr>
          <w:rFonts w:hint="eastAsia" w:hAnsi="宋体"/>
        </w:rPr>
        <w:t>本公司作为“</w:t>
      </w:r>
      <w:r>
        <w:rPr>
          <w:rFonts w:hint="eastAsia" w:hAnsi="宋体"/>
          <w:u w:val="single"/>
        </w:rPr>
        <w:t xml:space="preserve">采购项目名称：     （采购项目编号及分包号：          </w:t>
      </w:r>
      <w:r>
        <w:rPr>
          <w:rFonts w:hint="eastAsia" w:hAnsi="宋体"/>
        </w:rPr>
        <w:t>）”项目的供应商，郑重声明：</w:t>
      </w:r>
    </w:p>
    <w:p w14:paraId="05EDEE79">
      <w:pPr>
        <w:adjustRightInd w:val="0"/>
        <w:snapToGrid w:val="0"/>
        <w:spacing w:line="360" w:lineRule="auto"/>
        <w:ind w:firstLine="480" w:firstLineChars="200"/>
        <w:rPr>
          <w:rFonts w:hAnsi="宋体" w:cs="宋体"/>
        </w:rPr>
      </w:pPr>
      <w:r>
        <w:rPr>
          <w:rFonts w:hint="eastAsia" w:hAnsi="宋体" w:cs="宋体"/>
        </w:rPr>
        <w:t>1、在参与本次同一合同项下的采购活动中，不存在与其他供应商的单位负责人为同一人或者与其他供应商存在直接控股、管理关系的情形；</w:t>
      </w:r>
    </w:p>
    <w:p w14:paraId="54B8020C">
      <w:pPr>
        <w:adjustRightInd w:val="0"/>
        <w:snapToGrid w:val="0"/>
        <w:spacing w:line="360" w:lineRule="auto"/>
        <w:ind w:firstLine="480" w:firstLineChars="200"/>
        <w:rPr>
          <w:rFonts w:hAnsi="宋体" w:cs="宋体"/>
        </w:rPr>
      </w:pPr>
      <w:r>
        <w:rPr>
          <w:rFonts w:hint="eastAsia" w:hAnsi="宋体" w:cs="宋体"/>
        </w:rPr>
        <w:t>2、在参加本次采购活动前，未被纳入法院、市场监管部门、税务部门、银行认定的失信名单内；</w:t>
      </w:r>
    </w:p>
    <w:p w14:paraId="50579763">
      <w:pPr>
        <w:adjustRightInd w:val="0"/>
        <w:snapToGrid w:val="0"/>
        <w:spacing w:line="360" w:lineRule="auto"/>
        <w:ind w:firstLine="480" w:firstLineChars="200"/>
        <w:rPr>
          <w:rFonts w:hAnsi="宋体"/>
        </w:rPr>
      </w:pPr>
      <w:r>
        <w:rPr>
          <w:rFonts w:hint="eastAsia" w:hAnsi="宋体" w:cs="宋体"/>
        </w:rPr>
        <w:t>3、在参加本次采购活动前三年内的采购合同履约过程中及其他经营活动履约过程中，无未依法履约被有关部门处罚（处理）的行为</w:t>
      </w:r>
      <w:r>
        <w:rPr>
          <w:rFonts w:hint="eastAsia" w:hAnsi="宋体"/>
        </w:rPr>
        <w:t>。</w:t>
      </w:r>
    </w:p>
    <w:p w14:paraId="37BF3AFE">
      <w:pPr>
        <w:spacing w:line="360" w:lineRule="auto"/>
        <w:ind w:firstLine="480" w:firstLineChars="200"/>
        <w:rPr>
          <w:rFonts w:hAnsi="宋体" w:cs="宋体"/>
        </w:rPr>
      </w:pPr>
      <w:r>
        <w:rPr>
          <w:rFonts w:hint="eastAsia" w:hAnsi="宋体" w:cs="宋体"/>
        </w:rPr>
        <w:t>本公司对上述声明的真实性负责。如有虚假，将依法承担相应责任。</w:t>
      </w:r>
    </w:p>
    <w:p w14:paraId="5B3F8D10">
      <w:pPr>
        <w:spacing w:line="360" w:lineRule="auto"/>
        <w:rPr>
          <w:rFonts w:hAnsi="宋体"/>
          <w:sz w:val="28"/>
        </w:rPr>
      </w:pPr>
    </w:p>
    <w:p w14:paraId="4AE203A8">
      <w:pPr>
        <w:spacing w:line="360" w:lineRule="auto"/>
        <w:ind w:firstLine="480" w:firstLineChars="200"/>
      </w:pPr>
    </w:p>
    <w:p w14:paraId="3017AA3A">
      <w:pPr>
        <w:spacing w:line="360" w:lineRule="auto"/>
        <w:ind w:firstLine="470" w:firstLineChars="196"/>
        <w:rPr>
          <w:rFonts w:hAnsi="宋体" w:cs="宋体"/>
          <w:szCs w:val="24"/>
        </w:rPr>
      </w:pPr>
      <w:r>
        <w:rPr>
          <w:rFonts w:hint="eastAsia" w:hAnsi="宋体" w:cs="宋体"/>
          <w:szCs w:val="24"/>
        </w:rPr>
        <w:t>供应商名称：（单位公章）</w:t>
      </w:r>
    </w:p>
    <w:p w14:paraId="459E960D">
      <w:pPr>
        <w:spacing w:line="360" w:lineRule="auto"/>
        <w:ind w:firstLine="470" w:firstLineChars="196"/>
        <w:rPr>
          <w:rFonts w:hAnsi="宋体" w:cs="宋体"/>
          <w:szCs w:val="24"/>
        </w:rPr>
      </w:pPr>
      <w:r>
        <w:rPr>
          <w:rFonts w:hint="eastAsia" w:hAnsi="宋体" w:cs="宋体"/>
          <w:szCs w:val="24"/>
        </w:rPr>
        <w:t>法定代表人或授权代理人（签字或盖章）：</w:t>
      </w:r>
    </w:p>
    <w:p w14:paraId="314F3F42">
      <w:pPr>
        <w:spacing w:line="360" w:lineRule="auto"/>
        <w:ind w:firstLine="470" w:firstLineChars="196"/>
        <w:rPr>
          <w:rFonts w:hAnsi="宋体" w:cs="宋体"/>
          <w:szCs w:val="24"/>
        </w:rPr>
      </w:pPr>
      <w:r>
        <w:rPr>
          <w:rFonts w:hint="eastAsia" w:hAnsi="宋体" w:cs="宋体"/>
          <w:szCs w:val="24"/>
        </w:rPr>
        <w:t>日    期：</w:t>
      </w:r>
    </w:p>
    <w:bookmarkEnd w:id="486"/>
    <w:bookmarkEnd w:id="487"/>
    <w:bookmarkEnd w:id="488"/>
    <w:bookmarkEnd w:id="489"/>
    <w:bookmarkEnd w:id="490"/>
    <w:p w14:paraId="30C142A8">
      <w:pPr>
        <w:widowControl/>
        <w:spacing w:line="360" w:lineRule="auto"/>
        <w:jc w:val="left"/>
      </w:pPr>
      <w:r>
        <w:br w:type="page"/>
      </w:r>
    </w:p>
    <w:p w14:paraId="0B3C9519">
      <w:pPr>
        <w:pStyle w:val="4"/>
        <w:spacing w:before="0" w:after="0" w:line="360" w:lineRule="auto"/>
        <w:jc w:val="center"/>
      </w:pPr>
      <w:bookmarkStart w:id="491" w:name="_Toc138168026"/>
      <w:bookmarkStart w:id="492" w:name="_Toc170477133"/>
      <w:bookmarkStart w:id="493" w:name="_Toc20431"/>
      <w:r>
        <w:rPr>
          <w:rFonts w:hint="eastAsia"/>
        </w:rPr>
        <w:t>十、供应商诚信情况承诺函-2</w:t>
      </w:r>
      <w:bookmarkEnd w:id="491"/>
      <w:bookmarkEnd w:id="492"/>
      <w:bookmarkEnd w:id="493"/>
    </w:p>
    <w:p w14:paraId="75D0031A">
      <w:pPr>
        <w:spacing w:line="360" w:lineRule="auto"/>
        <w:ind w:firstLine="240" w:firstLineChars="100"/>
        <w:rPr>
          <w:rFonts w:hAnsi="宋体"/>
        </w:rPr>
      </w:pPr>
    </w:p>
    <w:p w14:paraId="348C2F68">
      <w:pPr>
        <w:adjustRightInd w:val="0"/>
        <w:spacing w:line="360" w:lineRule="auto"/>
        <w:ind w:right="480" w:rightChars="200"/>
        <w:jc w:val="left"/>
        <w:rPr>
          <w:rFonts w:hAnsi="宋体" w:cs="宋体"/>
          <w:spacing w:val="8"/>
          <w:szCs w:val="24"/>
        </w:rPr>
      </w:pPr>
      <w:r>
        <w:rPr>
          <w:rFonts w:hint="eastAsia" w:hAnsi="宋体" w:cs="宋体"/>
          <w:spacing w:val="8"/>
          <w:szCs w:val="24"/>
          <w:u w:val="single"/>
        </w:rPr>
        <w:t xml:space="preserve">             （采购人名称、采购代理机构名称）</w:t>
      </w:r>
      <w:r>
        <w:rPr>
          <w:rFonts w:hint="eastAsia" w:hAnsi="宋体" w:cs="宋体"/>
          <w:spacing w:val="8"/>
          <w:szCs w:val="24"/>
        </w:rPr>
        <w:t>：</w:t>
      </w:r>
    </w:p>
    <w:p w14:paraId="040E1FF0">
      <w:pPr>
        <w:spacing w:line="360" w:lineRule="auto"/>
        <w:rPr>
          <w:rFonts w:hAnsi="宋体"/>
        </w:rPr>
      </w:pPr>
      <w:r>
        <w:rPr>
          <w:rFonts w:hint="eastAsia" w:hAnsi="宋体"/>
          <w:bCs/>
        </w:rPr>
        <w:t xml:space="preserve">    本单位</w:t>
      </w:r>
      <w:r>
        <w:rPr>
          <w:rFonts w:hint="eastAsia" w:hAnsi="宋体"/>
          <w:bCs/>
          <w:u w:val="single"/>
        </w:rPr>
        <w:t xml:space="preserve">                   （供应商名称）</w:t>
      </w:r>
      <w:r>
        <w:rPr>
          <w:rFonts w:hint="eastAsia" w:hAnsi="宋体"/>
          <w:bCs/>
        </w:rPr>
        <w:t xml:space="preserve">参加 </w:t>
      </w:r>
      <w:r>
        <w:rPr>
          <w:rFonts w:hint="eastAsia" w:hAnsi="宋体"/>
          <w:bCs/>
          <w:u w:val="single"/>
        </w:rPr>
        <w:t xml:space="preserve">                （项目名称及采购编号）</w:t>
      </w:r>
      <w:r>
        <w:rPr>
          <w:rFonts w:hint="eastAsia" w:hAnsi="宋体"/>
          <w:bCs/>
        </w:rPr>
        <w:t>的政府采购活动，</w:t>
      </w:r>
      <w:r>
        <w:rPr>
          <w:rFonts w:hint="eastAsia" w:hAnsi="宋体"/>
        </w:rPr>
        <w:t>现</w:t>
      </w:r>
      <w:r>
        <w:rPr>
          <w:rFonts w:hint="eastAsia" w:hAnsi="宋体"/>
          <w:bCs/>
        </w:rPr>
        <w:t>参</w:t>
      </w:r>
      <w:r>
        <w:rPr>
          <w:rFonts w:hint="eastAsia" w:hAnsi="宋体"/>
        </w:rPr>
        <w:t>照《</w:t>
      </w:r>
      <w:r>
        <w:rPr>
          <w:rFonts w:hAnsi="宋体"/>
        </w:rPr>
        <w:t>四川省政府采购当事人诚信管理办法</w:t>
      </w:r>
      <w:r>
        <w:rPr>
          <w:rFonts w:hint="eastAsia" w:hAnsi="宋体"/>
        </w:rPr>
        <w:t>》川财采〔2015〕33号的相关规定，针</w:t>
      </w:r>
      <w:r>
        <w:rPr>
          <w:rFonts w:hint="eastAsia" w:hAnsi="宋体"/>
          <w:bCs/>
        </w:rPr>
        <w:t>对本单位的诚信情况作出以下承诺：</w:t>
      </w:r>
    </w:p>
    <w:p w14:paraId="2F2316E1">
      <w:pPr>
        <w:spacing w:line="360" w:lineRule="auto"/>
        <w:ind w:firstLine="480" w:firstLineChars="200"/>
        <w:rPr>
          <w:rFonts w:hAnsi="宋体"/>
          <w:bCs/>
        </w:rPr>
      </w:pPr>
    </w:p>
    <w:p w14:paraId="0BA9F992">
      <w:pPr>
        <w:spacing w:line="360" w:lineRule="auto"/>
        <w:ind w:firstLine="480" w:firstLineChars="200"/>
        <w:rPr>
          <w:rFonts w:hAnsi="宋体"/>
          <w:bCs/>
        </w:rPr>
      </w:pPr>
      <w:r>
        <w:rPr>
          <w:rFonts w:hint="eastAsia" w:hAnsi="宋体"/>
          <w:bCs/>
        </w:rPr>
        <w:t>我单位具有</w:t>
      </w:r>
      <w:r>
        <w:rPr>
          <w:rFonts w:hint="eastAsia" w:hAnsi="宋体"/>
        </w:rPr>
        <w:t>《四川省政府采购当事人诚信管理办法》（川财采[2015]33号）所规定的失信行为</w:t>
      </w:r>
      <w:r>
        <w:rPr>
          <w:rFonts w:hint="eastAsia" w:hAnsi="宋体"/>
          <w:u w:val="single"/>
        </w:rPr>
        <w:t xml:space="preserve">      </w:t>
      </w:r>
      <w:r>
        <w:rPr>
          <w:rFonts w:hint="eastAsia" w:hAnsi="宋体"/>
        </w:rPr>
        <w:t>次（填写失信行为的次数时，建议使用大写数字，如零、壹、贰、叁、肆等。）</w:t>
      </w:r>
      <w:r>
        <w:rPr>
          <w:rFonts w:hint="eastAsia" w:hAnsi="宋体"/>
          <w:bCs/>
        </w:rPr>
        <w:t>（仅限投标截止当日仍在有效期的次数）。</w:t>
      </w:r>
    </w:p>
    <w:p w14:paraId="671899A4">
      <w:pPr>
        <w:spacing w:line="360" w:lineRule="auto"/>
        <w:ind w:firstLine="480" w:firstLineChars="200"/>
        <w:rPr>
          <w:rFonts w:hAnsi="宋体"/>
        </w:rPr>
      </w:pPr>
    </w:p>
    <w:p w14:paraId="2F98BB69">
      <w:pPr>
        <w:spacing w:line="360" w:lineRule="auto"/>
        <w:ind w:firstLine="480" w:firstLineChars="200"/>
        <w:rPr>
          <w:rFonts w:hAnsi="宋体"/>
        </w:rPr>
      </w:pPr>
      <w:r>
        <w:rPr>
          <w:rFonts w:hint="eastAsia" w:hAnsi="宋体"/>
        </w:rPr>
        <w:t>我</w:t>
      </w:r>
      <w:r>
        <w:rPr>
          <w:rFonts w:hint="eastAsia" w:hAnsi="宋体"/>
          <w:bCs/>
        </w:rPr>
        <w:t>单位</w:t>
      </w:r>
      <w:r>
        <w:rPr>
          <w:rFonts w:hint="eastAsia" w:hAnsi="宋体"/>
        </w:rPr>
        <w:t>对以上填写信息的真实性负责。如有不实，本</w:t>
      </w:r>
      <w:r>
        <w:rPr>
          <w:rFonts w:hint="eastAsia" w:hAnsi="宋体"/>
          <w:bCs/>
        </w:rPr>
        <w:t>单位</w:t>
      </w:r>
      <w:r>
        <w:rPr>
          <w:rFonts w:hint="eastAsia" w:hAnsi="宋体"/>
        </w:rPr>
        <w:t>愿承担由此产生的一切法律责任和后果。</w:t>
      </w:r>
    </w:p>
    <w:p w14:paraId="02521A08">
      <w:pPr>
        <w:spacing w:line="360" w:lineRule="auto"/>
        <w:rPr>
          <w:rFonts w:hAnsi="宋体"/>
          <w:bCs/>
        </w:rPr>
      </w:pPr>
    </w:p>
    <w:p w14:paraId="7765FF39">
      <w:pPr>
        <w:spacing w:line="360" w:lineRule="auto"/>
        <w:ind w:firstLine="470" w:firstLineChars="196"/>
        <w:rPr>
          <w:rFonts w:hAnsi="宋体" w:cs="宋体"/>
          <w:szCs w:val="24"/>
        </w:rPr>
      </w:pPr>
      <w:r>
        <w:rPr>
          <w:rFonts w:hint="eastAsia" w:hAnsi="宋体" w:cs="宋体"/>
          <w:szCs w:val="24"/>
        </w:rPr>
        <w:t>供应商名称：（单位公章）</w:t>
      </w:r>
    </w:p>
    <w:p w14:paraId="46DF4A8F">
      <w:pPr>
        <w:spacing w:line="360" w:lineRule="auto"/>
        <w:ind w:firstLine="470" w:firstLineChars="196"/>
        <w:rPr>
          <w:rFonts w:hAnsi="宋体" w:cs="宋体"/>
          <w:szCs w:val="24"/>
        </w:rPr>
      </w:pPr>
      <w:r>
        <w:rPr>
          <w:rFonts w:hint="eastAsia" w:hAnsi="宋体" w:cs="宋体"/>
          <w:szCs w:val="24"/>
        </w:rPr>
        <w:t>法定代表人或授权代理人（签字或盖章）：</w:t>
      </w:r>
    </w:p>
    <w:p w14:paraId="5D489D4A">
      <w:pPr>
        <w:spacing w:line="360" w:lineRule="auto"/>
        <w:ind w:firstLine="470" w:firstLineChars="196"/>
        <w:rPr>
          <w:rFonts w:hAnsi="宋体" w:cs="宋体"/>
          <w:szCs w:val="24"/>
        </w:rPr>
      </w:pPr>
      <w:r>
        <w:rPr>
          <w:rFonts w:hint="eastAsia" w:hAnsi="宋体" w:cs="宋体"/>
          <w:szCs w:val="24"/>
        </w:rPr>
        <w:t>日    期：</w:t>
      </w:r>
    </w:p>
    <w:p w14:paraId="0F5A7F36">
      <w:pPr>
        <w:spacing w:line="360" w:lineRule="auto"/>
        <w:ind w:firstLine="480" w:firstLineChars="200"/>
      </w:pPr>
    </w:p>
    <w:p w14:paraId="2FC05B92">
      <w:pPr>
        <w:spacing w:line="360" w:lineRule="auto"/>
        <w:ind w:firstLine="480" w:firstLineChars="200"/>
        <w:rPr>
          <w:rFonts w:hAnsi="宋体" w:cs="宋体"/>
        </w:rPr>
      </w:pPr>
      <w:r>
        <w:rPr>
          <w:rFonts w:hint="eastAsia" w:hAnsi="宋体" w:cs="宋体"/>
        </w:rPr>
        <w:t>注：</w:t>
      </w:r>
    </w:p>
    <w:p w14:paraId="3C704CDB">
      <w:pPr>
        <w:spacing w:line="360" w:lineRule="auto"/>
        <w:ind w:firstLine="480" w:firstLineChars="200"/>
        <w:rPr>
          <w:rFonts w:hAnsi="宋体" w:cs="宋体"/>
        </w:rPr>
      </w:pPr>
      <w:r>
        <w:rPr>
          <w:rFonts w:hint="eastAsia" w:hAnsi="宋体" w:cs="宋体"/>
        </w:rPr>
        <w:t>1、本表格式及内容仅供参考，供应商也可提供自己的格式；</w:t>
      </w:r>
    </w:p>
    <w:p w14:paraId="43512317">
      <w:pPr>
        <w:spacing w:line="360" w:lineRule="auto"/>
        <w:ind w:firstLine="480" w:firstLineChars="200"/>
        <w:rPr>
          <w:rFonts w:hAnsi="宋体" w:cs="宋体"/>
        </w:rPr>
      </w:pPr>
      <w:r>
        <w:rPr>
          <w:rFonts w:hint="eastAsia" w:hAnsi="宋体" w:cs="宋体"/>
        </w:rPr>
        <w:t>2、供应商存在以上所述失信行为的，将按照第二章投标人须知附表的要求进行处理；</w:t>
      </w:r>
    </w:p>
    <w:p w14:paraId="25BCE80F">
      <w:pPr>
        <w:spacing w:line="360" w:lineRule="auto"/>
        <w:ind w:firstLine="480" w:firstLineChars="200"/>
        <w:rPr>
          <w:rFonts w:hAnsi="宋体" w:cs="宋体"/>
        </w:rPr>
      </w:pPr>
      <w:r>
        <w:rPr>
          <w:rFonts w:hint="eastAsia" w:hAnsi="宋体" w:cs="宋体"/>
        </w:rPr>
        <w:t>3、财政部门对政府采购当事人的失信行为依法进行处罚、处理后，应当在中国采招网向社会公告，并记入诚信档案，有效期为1年。工商部门、税务部门、审判机关及其他有关部门单位认定供应商的失信行为明确了有效期的，不再重复计算。</w:t>
      </w:r>
    </w:p>
    <w:p w14:paraId="58615688">
      <w:pPr>
        <w:spacing w:line="360" w:lineRule="auto"/>
        <w:ind w:firstLine="480" w:firstLineChars="200"/>
      </w:pPr>
      <w:r>
        <w:rPr>
          <w:rFonts w:hint="eastAsia" w:hAnsi="宋体" w:cs="宋体"/>
        </w:rPr>
        <w:t>4、供应商的失信行为受到行政处罚或司法惩处的，评审时不再对其以价格加成进行惩戒。</w:t>
      </w:r>
    </w:p>
    <w:p w14:paraId="56B78CBF">
      <w:pPr>
        <w:spacing w:line="360" w:lineRule="auto"/>
      </w:pPr>
    </w:p>
    <w:p w14:paraId="164E6664">
      <w:pPr>
        <w:spacing w:line="360" w:lineRule="auto"/>
      </w:pPr>
    </w:p>
    <w:p w14:paraId="6C0AAE2D">
      <w:pPr>
        <w:pStyle w:val="4"/>
        <w:spacing w:before="0" w:after="0" w:line="360" w:lineRule="auto"/>
        <w:jc w:val="center"/>
      </w:pPr>
      <w:bookmarkStart w:id="494" w:name="_Toc138168027"/>
      <w:bookmarkStart w:id="495" w:name="_Toc170477134"/>
      <w:bookmarkStart w:id="496" w:name="_Toc9008"/>
      <w:bookmarkStart w:id="497" w:name="_Toc21464"/>
      <w:bookmarkStart w:id="498" w:name="_Toc13440"/>
      <w:bookmarkStart w:id="499" w:name="_Toc32419"/>
      <w:bookmarkStart w:id="500" w:name="_Toc18201"/>
      <w:r>
        <w:rPr>
          <w:rFonts w:hint="eastAsia"/>
        </w:rPr>
        <w:t>十一、供应商廉政承诺书</w:t>
      </w:r>
      <w:bookmarkEnd w:id="494"/>
      <w:bookmarkEnd w:id="495"/>
      <w:bookmarkEnd w:id="496"/>
    </w:p>
    <w:p w14:paraId="66E5287E">
      <w:pPr>
        <w:adjustRightInd w:val="0"/>
        <w:snapToGrid w:val="0"/>
        <w:spacing w:line="360" w:lineRule="auto"/>
        <w:ind w:firstLine="480" w:firstLineChars="200"/>
        <w:rPr>
          <w:rFonts w:hAnsi="宋体"/>
        </w:rPr>
      </w:pPr>
      <w:r>
        <w:rPr>
          <w:rFonts w:hAnsi="宋体"/>
        </w:rPr>
        <w:t>本</w:t>
      </w:r>
      <w:r>
        <w:rPr>
          <w:rFonts w:hint="eastAsia" w:hAnsi="宋体"/>
        </w:rPr>
        <w:t>公司</w:t>
      </w:r>
      <w:r>
        <w:rPr>
          <w:rFonts w:hAnsi="宋体"/>
        </w:rPr>
        <w:t>参与</w:t>
      </w:r>
      <w:r>
        <w:rPr>
          <w:rFonts w:hint="eastAsia" w:hAnsi="宋体"/>
        </w:rPr>
        <w:t>“</w:t>
      </w:r>
      <w:r>
        <w:rPr>
          <w:rFonts w:hint="eastAsia" w:hAnsi="宋体"/>
          <w:u w:val="single"/>
        </w:rPr>
        <w:t>采购</w:t>
      </w:r>
      <w:r>
        <w:rPr>
          <w:rFonts w:hint="eastAsia" w:hAnsi="宋体"/>
          <w:bCs/>
          <w:spacing w:val="8"/>
          <w:u w:val="single"/>
        </w:rPr>
        <w:t>项目名称：     （采购项目编号：          ）</w:t>
      </w:r>
      <w:r>
        <w:rPr>
          <w:rFonts w:hint="eastAsia" w:hAnsi="宋体"/>
        </w:rPr>
        <w:t>”</w:t>
      </w:r>
      <w:r>
        <w:rPr>
          <w:rFonts w:hAnsi="宋体"/>
        </w:rPr>
        <w:t>的投标，现郑重承诺：</w:t>
      </w:r>
    </w:p>
    <w:p w14:paraId="213653A9">
      <w:pPr>
        <w:adjustRightInd w:val="0"/>
        <w:snapToGrid w:val="0"/>
        <w:spacing w:line="360" w:lineRule="auto"/>
        <w:ind w:firstLine="480" w:firstLineChars="200"/>
        <w:rPr>
          <w:rFonts w:hAnsi="宋体"/>
        </w:rPr>
      </w:pPr>
      <w:r>
        <w:rPr>
          <w:rFonts w:hint="eastAsia" w:hAnsi="宋体"/>
        </w:rPr>
        <w:t>1.</w:t>
      </w:r>
      <w:r>
        <w:rPr>
          <w:rFonts w:hAnsi="宋体"/>
        </w:rPr>
        <w:t>不以任何方式向项目招标</w:t>
      </w:r>
      <w:r>
        <w:rPr>
          <w:rFonts w:hint="eastAsia" w:hAnsi="宋体"/>
        </w:rPr>
        <w:t>采购</w:t>
      </w:r>
      <w:r>
        <w:rPr>
          <w:rFonts w:hAnsi="宋体"/>
        </w:rPr>
        <w:t>人员、审批人员、监管</w:t>
      </w:r>
      <w:r>
        <w:rPr>
          <w:rFonts w:hint="eastAsia" w:hAnsi="宋体"/>
        </w:rPr>
        <w:t>及</w:t>
      </w:r>
      <w:r>
        <w:rPr>
          <w:rFonts w:hAnsi="宋体"/>
        </w:rPr>
        <w:t>行业主管人员</w:t>
      </w:r>
      <w:r>
        <w:rPr>
          <w:rFonts w:hint="eastAsia" w:hAnsi="宋体"/>
        </w:rPr>
        <w:t>以及</w:t>
      </w:r>
      <w:r>
        <w:rPr>
          <w:rFonts w:hAnsi="宋体"/>
        </w:rPr>
        <w:t>评标专家等行贿。</w:t>
      </w:r>
    </w:p>
    <w:p w14:paraId="58B094BD">
      <w:pPr>
        <w:adjustRightInd w:val="0"/>
        <w:snapToGrid w:val="0"/>
        <w:spacing w:line="360" w:lineRule="auto"/>
        <w:ind w:firstLine="480" w:firstLineChars="200"/>
        <w:rPr>
          <w:rFonts w:hAnsi="宋体"/>
        </w:rPr>
      </w:pPr>
      <w:r>
        <w:rPr>
          <w:rFonts w:hint="eastAsia" w:hAnsi="宋体"/>
        </w:rPr>
        <w:t>2.</w:t>
      </w:r>
      <w:r>
        <w:rPr>
          <w:rFonts w:hAnsi="宋体"/>
        </w:rPr>
        <w:t>不以任何方式托人打招呼、求关照，搞利益结盟，腐蚀党和国家机关工作人员。</w:t>
      </w:r>
    </w:p>
    <w:p w14:paraId="61BEE027">
      <w:pPr>
        <w:adjustRightInd w:val="0"/>
        <w:snapToGrid w:val="0"/>
        <w:spacing w:line="360" w:lineRule="auto"/>
        <w:ind w:firstLine="480" w:firstLineChars="200"/>
        <w:rPr>
          <w:rFonts w:hAnsi="宋体"/>
        </w:rPr>
      </w:pPr>
      <w:r>
        <w:rPr>
          <w:rFonts w:hAnsi="宋体"/>
        </w:rPr>
        <w:t>以上承诺如有违反，请严肃处理，欢迎监督举报！</w:t>
      </w:r>
    </w:p>
    <w:p w14:paraId="127DE049">
      <w:pPr>
        <w:widowControl/>
        <w:adjustRightInd w:val="0"/>
        <w:snapToGrid w:val="0"/>
        <w:spacing w:line="360" w:lineRule="auto"/>
        <w:jc w:val="left"/>
        <w:rPr>
          <w:rFonts w:hAnsi="宋体"/>
        </w:rPr>
      </w:pPr>
    </w:p>
    <w:p w14:paraId="1C533059">
      <w:pPr>
        <w:widowControl/>
        <w:adjustRightInd w:val="0"/>
        <w:snapToGrid w:val="0"/>
        <w:spacing w:line="360" w:lineRule="auto"/>
        <w:jc w:val="left"/>
        <w:rPr>
          <w:rFonts w:hAnsi="宋体"/>
        </w:rPr>
      </w:pPr>
    </w:p>
    <w:p w14:paraId="4FB915DE">
      <w:pPr>
        <w:spacing w:line="360" w:lineRule="auto"/>
        <w:ind w:firstLine="470" w:firstLineChars="196"/>
        <w:rPr>
          <w:rFonts w:hAnsi="宋体" w:cs="宋体"/>
          <w:szCs w:val="24"/>
        </w:rPr>
      </w:pPr>
      <w:r>
        <w:rPr>
          <w:rFonts w:hint="eastAsia" w:hAnsi="宋体" w:cs="宋体"/>
          <w:szCs w:val="24"/>
        </w:rPr>
        <w:t>供应商名称：（单位公章）</w:t>
      </w:r>
    </w:p>
    <w:p w14:paraId="09DA789F">
      <w:pPr>
        <w:spacing w:line="360" w:lineRule="auto"/>
        <w:ind w:firstLine="470" w:firstLineChars="196"/>
        <w:rPr>
          <w:rFonts w:hAnsi="宋体" w:cs="宋体"/>
          <w:szCs w:val="24"/>
        </w:rPr>
      </w:pPr>
      <w:r>
        <w:rPr>
          <w:rFonts w:hint="eastAsia" w:hAnsi="宋体" w:cs="宋体"/>
          <w:szCs w:val="24"/>
        </w:rPr>
        <w:t>法定代表人或授权代理人（签字或盖章）：</w:t>
      </w:r>
    </w:p>
    <w:p w14:paraId="245C29FE">
      <w:pPr>
        <w:spacing w:line="360" w:lineRule="auto"/>
        <w:ind w:firstLine="470" w:firstLineChars="196"/>
        <w:rPr>
          <w:rFonts w:hAnsi="宋体" w:cs="宋体"/>
          <w:szCs w:val="24"/>
        </w:rPr>
      </w:pPr>
      <w:r>
        <w:rPr>
          <w:rFonts w:hint="eastAsia" w:hAnsi="宋体" w:cs="宋体"/>
          <w:szCs w:val="24"/>
        </w:rPr>
        <w:t>日    期：</w:t>
      </w:r>
    </w:p>
    <w:p w14:paraId="24CEB2B0">
      <w:pPr>
        <w:widowControl/>
        <w:spacing w:line="360" w:lineRule="auto"/>
        <w:jc w:val="left"/>
      </w:pPr>
      <w:r>
        <w:rPr>
          <w:b/>
          <w:bCs/>
        </w:rPr>
        <w:br w:type="page"/>
      </w:r>
    </w:p>
    <w:bookmarkEnd w:id="497"/>
    <w:bookmarkEnd w:id="498"/>
    <w:bookmarkEnd w:id="499"/>
    <w:bookmarkEnd w:id="500"/>
    <w:p w14:paraId="39419174">
      <w:pPr>
        <w:pStyle w:val="4"/>
        <w:spacing w:before="0" w:after="0" w:line="360" w:lineRule="auto"/>
        <w:jc w:val="center"/>
      </w:pPr>
      <w:bookmarkStart w:id="501" w:name="_Toc13862"/>
      <w:bookmarkStart w:id="502" w:name="_Toc131064018"/>
      <w:bookmarkStart w:id="503" w:name="_Toc30800"/>
      <w:bookmarkStart w:id="504" w:name="_Toc7171"/>
      <w:bookmarkStart w:id="505" w:name="_Toc28759"/>
      <w:bookmarkStart w:id="506" w:name="_Toc21344"/>
      <w:bookmarkStart w:id="507" w:name="_Toc170477135"/>
      <w:bookmarkStart w:id="508" w:name="_Toc149833190"/>
      <w:bookmarkStart w:id="509" w:name="_Toc21942"/>
      <w:bookmarkStart w:id="510" w:name="_Toc138167936"/>
      <w:bookmarkStart w:id="511" w:name="_Toc138168029"/>
      <w:r>
        <w:rPr>
          <w:rFonts w:hint="eastAsia"/>
        </w:rPr>
        <w:t>十二、</w:t>
      </w:r>
      <w:bookmarkEnd w:id="501"/>
      <w:bookmarkEnd w:id="502"/>
      <w:bookmarkEnd w:id="503"/>
      <w:bookmarkEnd w:id="504"/>
      <w:bookmarkEnd w:id="505"/>
      <w:bookmarkEnd w:id="506"/>
      <w:r>
        <w:rPr>
          <w:rFonts w:hint="eastAsia"/>
        </w:rPr>
        <w:t>供应商认为需要提供的文件和资料</w:t>
      </w:r>
      <w:bookmarkEnd w:id="507"/>
      <w:bookmarkEnd w:id="508"/>
      <w:bookmarkEnd w:id="509"/>
    </w:p>
    <w:p w14:paraId="3B61933F">
      <w:pPr>
        <w:spacing w:line="360" w:lineRule="auto"/>
        <w:ind w:firstLine="411" w:firstLineChars="196"/>
        <w:rPr>
          <w:rFonts w:cs="宋体"/>
          <w:sz w:val="21"/>
          <w:szCs w:val="21"/>
        </w:rPr>
      </w:pPr>
    </w:p>
    <w:p w14:paraId="635619DC">
      <w:pPr>
        <w:spacing w:line="360" w:lineRule="auto"/>
        <w:ind w:firstLine="411" w:firstLineChars="196"/>
        <w:rPr>
          <w:rFonts w:cs="宋体"/>
          <w:sz w:val="21"/>
          <w:szCs w:val="21"/>
        </w:rPr>
      </w:pPr>
    </w:p>
    <w:p w14:paraId="1BF7592A">
      <w:pPr>
        <w:spacing w:line="360" w:lineRule="auto"/>
        <w:ind w:firstLine="411" w:firstLineChars="196"/>
        <w:rPr>
          <w:rFonts w:cs="宋体"/>
          <w:sz w:val="21"/>
          <w:szCs w:val="21"/>
        </w:rPr>
      </w:pPr>
    </w:p>
    <w:p w14:paraId="77B69E0B">
      <w:pPr>
        <w:spacing w:line="360" w:lineRule="auto"/>
        <w:ind w:firstLine="411" w:firstLineChars="196"/>
        <w:rPr>
          <w:rFonts w:cs="宋体"/>
          <w:sz w:val="21"/>
          <w:szCs w:val="21"/>
        </w:rPr>
      </w:pPr>
    </w:p>
    <w:p w14:paraId="7EE40C59">
      <w:pPr>
        <w:spacing w:line="360" w:lineRule="auto"/>
        <w:ind w:firstLine="411" w:firstLineChars="196"/>
        <w:rPr>
          <w:rFonts w:cs="宋体"/>
          <w:sz w:val="21"/>
          <w:szCs w:val="21"/>
        </w:rPr>
      </w:pPr>
    </w:p>
    <w:p w14:paraId="5E24DD18">
      <w:pPr>
        <w:spacing w:line="360" w:lineRule="auto"/>
        <w:ind w:firstLine="411" w:firstLineChars="196"/>
        <w:rPr>
          <w:rFonts w:cs="宋体"/>
          <w:sz w:val="21"/>
          <w:szCs w:val="21"/>
        </w:rPr>
      </w:pPr>
    </w:p>
    <w:p w14:paraId="36BCCD5F">
      <w:pPr>
        <w:widowControl/>
        <w:jc w:val="left"/>
        <w:rPr>
          <w:rFonts w:cs="宋体" w:asciiTheme="minorEastAsia" w:hAnsiTheme="minorEastAsia" w:eastAsiaTheme="minorEastAsia"/>
          <w:b/>
          <w:sz w:val="32"/>
          <w:szCs w:val="32"/>
        </w:rPr>
      </w:pPr>
      <w:r>
        <w:rPr>
          <w:rFonts w:cs="宋体" w:asciiTheme="minorEastAsia" w:hAnsiTheme="minorEastAsia" w:eastAsiaTheme="minorEastAsia"/>
          <w:sz w:val="32"/>
          <w:szCs w:val="32"/>
        </w:rPr>
        <w:br w:type="page"/>
      </w:r>
    </w:p>
    <w:p w14:paraId="42C22B13">
      <w:pPr>
        <w:pStyle w:val="34"/>
        <w:spacing w:line="360" w:lineRule="auto"/>
        <w:rPr>
          <w:rFonts w:cs="宋体" w:asciiTheme="minorEastAsia" w:hAnsiTheme="minorEastAsia" w:eastAsiaTheme="minorEastAsia"/>
          <w:sz w:val="32"/>
          <w:szCs w:val="32"/>
        </w:rPr>
      </w:pPr>
      <w:bookmarkStart w:id="512" w:name="_Toc535"/>
      <w:bookmarkStart w:id="513" w:name="_Toc170477136"/>
      <w:r>
        <w:rPr>
          <w:rFonts w:hint="eastAsia" w:cs="宋体" w:asciiTheme="minorEastAsia" w:hAnsiTheme="minorEastAsia" w:eastAsiaTheme="minorEastAsia"/>
          <w:sz w:val="32"/>
          <w:szCs w:val="32"/>
        </w:rPr>
        <w:t xml:space="preserve">第六章 </w:t>
      </w:r>
      <w:bookmarkStart w:id="514" w:name="_Toc217446097"/>
      <w:bookmarkStart w:id="515" w:name="_Toc183682415"/>
      <w:bookmarkStart w:id="516" w:name="_Toc183582280"/>
      <w:bookmarkStart w:id="517" w:name="_Toc208849007"/>
      <w:r>
        <w:rPr>
          <w:rFonts w:hint="eastAsia" w:cs="宋体" w:asciiTheme="minorEastAsia" w:hAnsiTheme="minorEastAsia" w:eastAsiaTheme="minorEastAsia"/>
          <w:sz w:val="32"/>
          <w:szCs w:val="32"/>
        </w:rPr>
        <w:t xml:space="preserve"> 磋商程序、方法及</w:t>
      </w:r>
      <w:bookmarkEnd w:id="478"/>
      <w:bookmarkEnd w:id="479"/>
      <w:bookmarkStart w:id="518" w:name="_Toc30465"/>
      <w:r>
        <w:rPr>
          <w:rFonts w:hint="eastAsia" w:cs="宋体" w:asciiTheme="minorEastAsia" w:hAnsiTheme="minorEastAsia" w:eastAsiaTheme="minorEastAsia"/>
          <w:sz w:val="32"/>
          <w:szCs w:val="32"/>
        </w:rPr>
        <w:t>标准</w:t>
      </w:r>
      <w:bookmarkEnd w:id="510"/>
      <w:bookmarkEnd w:id="511"/>
      <w:bookmarkEnd w:id="512"/>
      <w:bookmarkEnd w:id="513"/>
    </w:p>
    <w:bookmarkEnd w:id="514"/>
    <w:bookmarkEnd w:id="515"/>
    <w:bookmarkEnd w:id="516"/>
    <w:bookmarkEnd w:id="517"/>
    <w:bookmarkEnd w:id="518"/>
    <w:p w14:paraId="668517DE">
      <w:pPr>
        <w:pStyle w:val="3"/>
        <w:spacing w:line="360" w:lineRule="auto"/>
        <w:jc w:val="both"/>
        <w:rPr>
          <w:rFonts w:ascii="宋体" w:hAnsi="宋体" w:eastAsia="宋体" w:cs="宋体"/>
          <w:sz w:val="24"/>
          <w:szCs w:val="24"/>
        </w:rPr>
      </w:pPr>
      <w:bookmarkStart w:id="519" w:name="_Toc170477137"/>
      <w:bookmarkStart w:id="520" w:name="_Toc138167937"/>
      <w:bookmarkStart w:id="521" w:name="_Toc20686"/>
      <w:bookmarkStart w:id="522" w:name="_Toc4939"/>
      <w:bookmarkStart w:id="523" w:name="_Toc138168030"/>
      <w:bookmarkStart w:id="524" w:name="_Toc27543"/>
      <w:bookmarkStart w:id="525" w:name="_Toc23243"/>
      <w:bookmarkStart w:id="526" w:name="_Toc217446099"/>
      <w:r>
        <w:rPr>
          <w:rFonts w:hint="eastAsia" w:ascii="宋体" w:hAnsi="宋体" w:eastAsia="宋体" w:cs="宋体"/>
          <w:sz w:val="24"/>
          <w:szCs w:val="24"/>
        </w:rPr>
        <w:t>一、总则</w:t>
      </w:r>
      <w:bookmarkEnd w:id="519"/>
      <w:bookmarkEnd w:id="520"/>
      <w:bookmarkEnd w:id="521"/>
      <w:bookmarkEnd w:id="522"/>
      <w:bookmarkEnd w:id="523"/>
      <w:bookmarkEnd w:id="524"/>
      <w:bookmarkEnd w:id="525"/>
    </w:p>
    <w:p w14:paraId="6CB385F7">
      <w:pPr>
        <w:spacing w:line="360" w:lineRule="auto"/>
        <w:ind w:firstLine="480" w:firstLineChars="200"/>
        <w:rPr>
          <w:rFonts w:hAnsi="宋体" w:cs="宋体"/>
          <w:szCs w:val="24"/>
        </w:rPr>
      </w:pPr>
      <w:r>
        <w:rPr>
          <w:rFonts w:hAnsi="宋体" w:cs="宋体"/>
          <w:szCs w:val="24"/>
        </w:rPr>
        <w:t>1、</w:t>
      </w:r>
      <w:r>
        <w:rPr>
          <w:rFonts w:hint="eastAsia" w:hAnsi="宋体" w:cs="宋体"/>
          <w:szCs w:val="24"/>
        </w:rPr>
        <w:t>参照《中华人民共和国政府采购法》、《中华人民共和国政府采购法实施条例》、《政府采购竞争性磋商采购方式管理暂行办法》等法律制度，结合本采购项目特点制定本磋商方法。</w:t>
      </w:r>
    </w:p>
    <w:p w14:paraId="14034220">
      <w:pPr>
        <w:spacing w:line="360" w:lineRule="auto"/>
        <w:ind w:firstLine="480" w:firstLineChars="200"/>
        <w:rPr>
          <w:rFonts w:hAnsi="宋体" w:cs="宋体"/>
          <w:bCs/>
          <w:szCs w:val="24"/>
        </w:rPr>
      </w:pPr>
      <w:r>
        <w:rPr>
          <w:rFonts w:hAnsi="宋体" w:cs="宋体"/>
          <w:szCs w:val="24"/>
        </w:rPr>
        <w:t>2、</w:t>
      </w:r>
      <w:r>
        <w:rPr>
          <w:rFonts w:hint="eastAsia" w:hAnsi="宋体" w:cs="宋体"/>
          <w:bCs/>
          <w:szCs w:val="24"/>
        </w:rPr>
        <w:t>磋商工作由采购代理机构负责组织，具体磋商由采购代理机构依法组建的磋商小组负责。</w:t>
      </w:r>
    </w:p>
    <w:p w14:paraId="16C46547">
      <w:pPr>
        <w:spacing w:line="360" w:lineRule="auto"/>
        <w:ind w:firstLine="480" w:firstLineChars="200"/>
        <w:rPr>
          <w:rFonts w:hAnsi="宋体" w:cs="宋体"/>
          <w:szCs w:val="24"/>
        </w:rPr>
      </w:pPr>
      <w:r>
        <w:rPr>
          <w:rFonts w:hAnsi="宋体" w:cs="宋体"/>
          <w:szCs w:val="24"/>
        </w:rPr>
        <w:t>3、</w:t>
      </w:r>
      <w:r>
        <w:rPr>
          <w:rFonts w:hint="eastAsia" w:hAnsi="宋体" w:cs="宋体"/>
          <w:szCs w:val="24"/>
        </w:rPr>
        <w:t>评审工作应遵循公平、公正、科学及择优的原则，并以相同的评审程序和标准对待所有的供应商。</w:t>
      </w:r>
    </w:p>
    <w:p w14:paraId="4B591D12">
      <w:pPr>
        <w:spacing w:line="360" w:lineRule="auto"/>
        <w:ind w:firstLine="480" w:firstLineChars="200"/>
        <w:rPr>
          <w:rFonts w:hAnsi="宋体" w:cs="宋体"/>
          <w:szCs w:val="24"/>
        </w:rPr>
      </w:pPr>
      <w:r>
        <w:rPr>
          <w:rFonts w:hAnsi="宋体" w:cs="宋体"/>
          <w:szCs w:val="24"/>
        </w:rPr>
        <w:t>4、</w:t>
      </w:r>
      <w:r>
        <w:rPr>
          <w:rFonts w:hint="eastAsia" w:hAnsi="宋体" w:cs="宋体"/>
          <w:szCs w:val="24"/>
        </w:rPr>
        <w:t>磋商小组按照磋商文件规定的评审方法和标准进行评审，并独立履行下列职责：</w:t>
      </w:r>
    </w:p>
    <w:p w14:paraId="009D56E3">
      <w:pPr>
        <w:spacing w:line="360" w:lineRule="auto"/>
        <w:ind w:firstLine="480" w:firstLineChars="200"/>
        <w:rPr>
          <w:rFonts w:hAnsi="宋体" w:cs="宋体"/>
          <w:szCs w:val="24"/>
        </w:rPr>
      </w:pPr>
      <w:r>
        <w:rPr>
          <w:rFonts w:hint="eastAsia" w:hAnsi="宋体" w:cs="宋体"/>
          <w:szCs w:val="24"/>
        </w:rPr>
        <w:t>（一）熟悉和理解磋商文件，确定磋商文件内容是否违反国家有关强制性规定或者磋商文件存在歧义、重大缺陷，根据需要书面要求采购单位、采购代理机构对磋商文件作出解释；</w:t>
      </w:r>
    </w:p>
    <w:p w14:paraId="1516DC88">
      <w:pPr>
        <w:spacing w:line="360" w:lineRule="auto"/>
        <w:ind w:firstLine="480" w:firstLineChars="200"/>
        <w:rPr>
          <w:rFonts w:hAnsi="宋体" w:cs="宋体"/>
          <w:szCs w:val="24"/>
        </w:rPr>
      </w:pPr>
      <w:r>
        <w:rPr>
          <w:rFonts w:hint="eastAsia" w:hAnsi="宋体" w:cs="宋体"/>
          <w:szCs w:val="24"/>
        </w:rPr>
        <w:t>（二）审查供应商响应文件是否满足磋商文件要求，并作出公正评价；</w:t>
      </w:r>
    </w:p>
    <w:p w14:paraId="2DB82532">
      <w:pPr>
        <w:spacing w:line="360" w:lineRule="auto"/>
        <w:ind w:firstLine="480" w:firstLineChars="200"/>
        <w:rPr>
          <w:rFonts w:hAnsi="宋体" w:cs="宋体"/>
          <w:szCs w:val="24"/>
        </w:rPr>
      </w:pPr>
      <w:r>
        <w:rPr>
          <w:rFonts w:hint="eastAsia" w:hAnsi="宋体" w:cs="宋体"/>
          <w:szCs w:val="24"/>
        </w:rPr>
        <w:t>（三）根据需要要求供应商对响应文件中含义不明确、同类问题表述不一致或者有明显文字和计算错误的内容等作出必要的澄清、说明或者更正；</w:t>
      </w:r>
    </w:p>
    <w:p w14:paraId="057A2ECD">
      <w:pPr>
        <w:spacing w:line="360" w:lineRule="auto"/>
        <w:ind w:firstLine="480" w:firstLineChars="200"/>
        <w:rPr>
          <w:rFonts w:hAnsi="宋体" w:cs="宋体"/>
          <w:szCs w:val="24"/>
        </w:rPr>
      </w:pPr>
      <w:r>
        <w:rPr>
          <w:rFonts w:hint="eastAsia" w:hAnsi="宋体" w:cs="宋体"/>
          <w:szCs w:val="24"/>
        </w:rPr>
        <w:t>（四）推荐成交供应商，或者受采购单位委托确定成交供应商；</w:t>
      </w:r>
    </w:p>
    <w:p w14:paraId="0E8589E3">
      <w:pPr>
        <w:spacing w:line="360" w:lineRule="auto"/>
        <w:ind w:firstLine="480" w:firstLineChars="200"/>
        <w:rPr>
          <w:rFonts w:hAnsi="宋体" w:cs="宋体"/>
          <w:szCs w:val="24"/>
        </w:rPr>
      </w:pPr>
      <w:r>
        <w:rPr>
          <w:rFonts w:hint="eastAsia" w:hAnsi="宋体" w:cs="宋体"/>
          <w:szCs w:val="24"/>
        </w:rPr>
        <w:t>（五）起草评审报告并进行签署；</w:t>
      </w:r>
    </w:p>
    <w:p w14:paraId="507D45CB">
      <w:pPr>
        <w:spacing w:line="360" w:lineRule="auto"/>
        <w:ind w:firstLine="480" w:firstLineChars="200"/>
        <w:rPr>
          <w:rFonts w:hAnsi="宋体" w:cs="宋体"/>
          <w:szCs w:val="24"/>
        </w:rPr>
      </w:pPr>
      <w:r>
        <w:rPr>
          <w:rFonts w:hint="eastAsia" w:hAnsi="宋体" w:cs="宋体"/>
          <w:szCs w:val="24"/>
        </w:rPr>
        <w:t>（六）向采购代理机构或其他监督部门报告非法干预评审工作的行为；</w:t>
      </w:r>
    </w:p>
    <w:p w14:paraId="00E49012">
      <w:pPr>
        <w:spacing w:line="360" w:lineRule="auto"/>
        <w:ind w:firstLine="480" w:firstLineChars="200"/>
        <w:rPr>
          <w:rFonts w:hAnsi="宋体" w:cs="宋体"/>
          <w:szCs w:val="24"/>
        </w:rPr>
      </w:pPr>
      <w:r>
        <w:rPr>
          <w:rFonts w:hint="eastAsia" w:hAnsi="宋体" w:cs="宋体"/>
          <w:szCs w:val="24"/>
        </w:rPr>
        <w:t>（七）法律、法规和规章规定的其他职责。</w:t>
      </w:r>
    </w:p>
    <w:p w14:paraId="0E9224E5">
      <w:pPr>
        <w:spacing w:line="360" w:lineRule="auto"/>
        <w:ind w:firstLine="480" w:firstLineChars="200"/>
        <w:rPr>
          <w:rFonts w:hAnsi="宋体" w:cs="宋体"/>
          <w:szCs w:val="24"/>
        </w:rPr>
      </w:pPr>
      <w:r>
        <w:rPr>
          <w:rFonts w:hAnsi="宋体" w:cs="宋体"/>
          <w:szCs w:val="24"/>
        </w:rPr>
        <w:t>5、（实质性要求）磋商</w:t>
      </w:r>
      <w:r>
        <w:rPr>
          <w:rFonts w:hint="eastAsia" w:hAnsi="宋体" w:cs="宋体"/>
          <w:szCs w:val="24"/>
        </w:rPr>
        <w:t>过程独立、保密。供应商非法干预商评审过程的行为将导致其响应文件作为无效处理。</w:t>
      </w:r>
    </w:p>
    <w:p w14:paraId="4EC7248C">
      <w:pPr>
        <w:spacing w:line="360" w:lineRule="auto"/>
        <w:ind w:firstLine="480" w:firstLineChars="200"/>
        <w:rPr>
          <w:rFonts w:hAnsi="宋体" w:cs="宋体"/>
          <w:szCs w:val="24"/>
        </w:rPr>
      </w:pPr>
      <w:r>
        <w:rPr>
          <w:rFonts w:hAnsi="宋体" w:cs="宋体"/>
          <w:szCs w:val="24"/>
        </w:rPr>
        <w:t>6、</w:t>
      </w:r>
      <w:r>
        <w:rPr>
          <w:rFonts w:hint="eastAsia" w:hAnsi="宋体" w:cs="宋体"/>
          <w:szCs w:val="24"/>
        </w:rPr>
        <w:t>磋商小组评价响应文件的响应性，对于供应商而言，除磋商小组要求其澄清、说明或者纠正而提供的资料外，仅依据响应文件本身的内容，不寻求其他外部证据。</w:t>
      </w:r>
    </w:p>
    <w:p w14:paraId="2E9CA5B0">
      <w:pPr>
        <w:pStyle w:val="3"/>
        <w:spacing w:line="360" w:lineRule="auto"/>
        <w:jc w:val="left"/>
        <w:rPr>
          <w:rFonts w:ascii="宋体" w:hAnsi="宋体" w:eastAsia="宋体" w:cs="宋体"/>
          <w:sz w:val="24"/>
          <w:szCs w:val="24"/>
        </w:rPr>
      </w:pPr>
      <w:bookmarkStart w:id="527" w:name="_Toc138167938"/>
      <w:bookmarkStart w:id="528" w:name="_Toc26074"/>
      <w:bookmarkStart w:id="529" w:name="_Toc3824"/>
      <w:bookmarkStart w:id="530" w:name="_Toc170477138"/>
      <w:bookmarkStart w:id="531" w:name="_Toc25647"/>
      <w:bookmarkStart w:id="532" w:name="_Toc138168031"/>
      <w:bookmarkStart w:id="533" w:name="_Toc13847"/>
      <w:bookmarkStart w:id="534" w:name="_Toc15668"/>
      <w:r>
        <w:rPr>
          <w:rFonts w:hint="eastAsia" w:ascii="宋体" w:hAnsi="宋体" w:eastAsia="宋体" w:cs="宋体"/>
          <w:sz w:val="24"/>
          <w:szCs w:val="24"/>
        </w:rPr>
        <w:t>二、评审方法</w:t>
      </w:r>
      <w:bookmarkEnd w:id="527"/>
      <w:bookmarkEnd w:id="528"/>
      <w:bookmarkEnd w:id="529"/>
      <w:bookmarkEnd w:id="530"/>
      <w:bookmarkEnd w:id="531"/>
      <w:bookmarkEnd w:id="532"/>
      <w:bookmarkEnd w:id="533"/>
    </w:p>
    <w:p w14:paraId="5278DF57">
      <w:pPr>
        <w:spacing w:line="360" w:lineRule="auto"/>
        <w:ind w:firstLine="480" w:firstLineChars="200"/>
        <w:rPr>
          <w:rFonts w:hAnsi="宋体" w:cs="宋体"/>
          <w:szCs w:val="24"/>
        </w:rPr>
      </w:pPr>
      <w:r>
        <w:rPr>
          <w:rFonts w:hint="eastAsia" w:hAnsi="宋体" w:cs="宋体"/>
          <w:szCs w:val="24"/>
        </w:rPr>
        <w:t>本项目评审方法：综合评分法。综合评分法是指在最大限度地满足磋商文件实质性要求前提下，按照磋商文件中规定的各项因素进行综合评审后，以评审总得分最高的供应商作为成交候选供应商或者成交供应商的评审方法。</w:t>
      </w:r>
    </w:p>
    <w:p w14:paraId="2ABE3732">
      <w:pPr>
        <w:pStyle w:val="3"/>
        <w:spacing w:line="360" w:lineRule="auto"/>
        <w:jc w:val="left"/>
        <w:rPr>
          <w:rFonts w:ascii="宋体" w:hAnsi="宋体" w:eastAsia="宋体" w:cs="宋体"/>
          <w:sz w:val="24"/>
          <w:szCs w:val="24"/>
        </w:rPr>
      </w:pPr>
      <w:bookmarkStart w:id="535" w:name="_Toc28648"/>
      <w:bookmarkStart w:id="536" w:name="_Toc26477"/>
      <w:bookmarkStart w:id="537" w:name="_Toc170477139"/>
      <w:bookmarkStart w:id="538" w:name="_Toc15911"/>
      <w:bookmarkStart w:id="539" w:name="_Toc138168032"/>
      <w:bookmarkStart w:id="540" w:name="_Toc138167939"/>
      <w:r>
        <w:rPr>
          <w:rFonts w:hint="eastAsia" w:ascii="宋体" w:hAnsi="宋体" w:eastAsia="宋体" w:cs="宋体"/>
          <w:sz w:val="24"/>
          <w:szCs w:val="24"/>
        </w:rPr>
        <w:t>三、磋商</w:t>
      </w:r>
      <w:bookmarkEnd w:id="534"/>
      <w:bookmarkEnd w:id="535"/>
      <w:r>
        <w:rPr>
          <w:rFonts w:hint="eastAsia" w:ascii="宋体" w:hAnsi="宋体" w:eastAsia="宋体" w:cs="宋体"/>
          <w:sz w:val="24"/>
          <w:szCs w:val="24"/>
        </w:rPr>
        <w:t>程序</w:t>
      </w:r>
      <w:bookmarkEnd w:id="536"/>
      <w:bookmarkEnd w:id="537"/>
      <w:bookmarkEnd w:id="538"/>
      <w:bookmarkEnd w:id="539"/>
      <w:bookmarkEnd w:id="540"/>
    </w:p>
    <w:bookmarkEnd w:id="526"/>
    <w:p w14:paraId="789221BB">
      <w:pPr>
        <w:spacing w:line="360" w:lineRule="auto"/>
        <w:ind w:firstLine="482" w:firstLineChars="200"/>
        <w:rPr>
          <w:rFonts w:hAnsi="宋体" w:cs="宋体"/>
          <w:b/>
          <w:bCs/>
        </w:rPr>
      </w:pPr>
      <w:bookmarkStart w:id="541" w:name="_Toc30174"/>
      <w:r>
        <w:rPr>
          <w:rFonts w:hAnsi="宋体" w:cs="宋体"/>
          <w:b/>
          <w:bCs/>
        </w:rPr>
        <w:t>1、</w:t>
      </w:r>
      <w:r>
        <w:rPr>
          <w:rFonts w:hint="eastAsia" w:hAnsi="宋体" w:cs="宋体"/>
          <w:b/>
          <w:bCs/>
        </w:rPr>
        <w:t>审查磋商文件和停止评审。</w:t>
      </w:r>
      <w:bookmarkEnd w:id="541"/>
    </w:p>
    <w:p w14:paraId="3CB8F32B">
      <w:pPr>
        <w:spacing w:line="360" w:lineRule="auto"/>
        <w:ind w:firstLine="480" w:firstLineChars="200"/>
        <w:rPr>
          <w:rFonts w:hAnsi="宋体" w:cs="宋体"/>
          <w:bCs/>
        </w:rPr>
      </w:pPr>
      <w:bookmarkStart w:id="542" w:name="_Toc4990"/>
      <w:r>
        <w:rPr>
          <w:rFonts w:hint="eastAsia" w:hAnsi="宋体" w:cs="宋体"/>
          <w:bCs/>
        </w:rPr>
        <w:t>1.1 磋商小组正式评审前，应当对磋商文件进行熟悉和理解，内容主要包括磋商文件中供应商资格条件要求、采购项目技术、服务和商务要求、磋商办法和标准、政府采购政策要求以及采购合同主要条款等。</w:t>
      </w:r>
      <w:bookmarkEnd w:id="542"/>
    </w:p>
    <w:p w14:paraId="2ECF4D76">
      <w:pPr>
        <w:spacing w:line="360" w:lineRule="auto"/>
        <w:ind w:firstLine="480" w:firstLineChars="200"/>
        <w:rPr>
          <w:rFonts w:hAnsi="宋体" w:cs="宋体"/>
          <w:bCs/>
        </w:rPr>
      </w:pPr>
      <w:bookmarkStart w:id="543" w:name="_Toc26486"/>
      <w:r>
        <w:rPr>
          <w:rFonts w:hint="eastAsia" w:hAnsi="宋体" w:cs="宋体"/>
          <w:bCs/>
        </w:rPr>
        <w:t>1.2 本磋商文件有下列情形之一的，磋商小组应当停止评审：</w:t>
      </w:r>
      <w:bookmarkEnd w:id="543"/>
    </w:p>
    <w:p w14:paraId="4B39291B">
      <w:pPr>
        <w:spacing w:line="360" w:lineRule="auto"/>
        <w:ind w:firstLine="480" w:firstLineChars="200"/>
        <w:rPr>
          <w:rFonts w:hAnsi="宋体" w:cs="宋体"/>
          <w:bCs/>
        </w:rPr>
      </w:pPr>
      <w:bookmarkStart w:id="544" w:name="_Toc1651"/>
      <w:r>
        <w:rPr>
          <w:rFonts w:hint="eastAsia" w:hAnsi="宋体" w:cs="宋体"/>
          <w:bCs/>
        </w:rPr>
        <w:t>（1）磋商文件的规定存在歧义、重大缺陷的；</w:t>
      </w:r>
      <w:bookmarkEnd w:id="544"/>
    </w:p>
    <w:p w14:paraId="79A5F202">
      <w:pPr>
        <w:spacing w:line="360" w:lineRule="auto"/>
        <w:ind w:firstLine="480" w:firstLineChars="200"/>
        <w:rPr>
          <w:rFonts w:hAnsi="宋体" w:cs="宋体"/>
          <w:bCs/>
        </w:rPr>
      </w:pPr>
      <w:bookmarkStart w:id="545" w:name="_Toc13441"/>
      <w:r>
        <w:rPr>
          <w:rFonts w:hint="eastAsia" w:hAnsi="宋体" w:cs="宋体"/>
          <w:bCs/>
        </w:rPr>
        <w:t>（2）磋商文件明显以不合理条件对供应商实行差别待遇或者歧视待遇的；</w:t>
      </w:r>
      <w:bookmarkEnd w:id="545"/>
    </w:p>
    <w:p w14:paraId="24DB02CF">
      <w:pPr>
        <w:spacing w:line="360" w:lineRule="auto"/>
        <w:ind w:firstLine="480" w:firstLineChars="200"/>
        <w:rPr>
          <w:rFonts w:hAnsi="宋体" w:cs="宋体"/>
          <w:bCs/>
        </w:rPr>
      </w:pPr>
      <w:bookmarkStart w:id="546" w:name="_Toc13877"/>
      <w:r>
        <w:rPr>
          <w:rFonts w:hint="eastAsia" w:hAnsi="宋体" w:cs="宋体"/>
          <w:bCs/>
        </w:rPr>
        <w:t>（3）采购项目属于国家规定的优先、强制采购范围，但是磋商文件未依法体现优先、强制采购相关规定的；</w:t>
      </w:r>
      <w:bookmarkEnd w:id="546"/>
    </w:p>
    <w:p w14:paraId="0381B839">
      <w:pPr>
        <w:spacing w:line="360" w:lineRule="auto"/>
        <w:ind w:firstLine="480" w:firstLineChars="200"/>
        <w:rPr>
          <w:rFonts w:hAnsi="宋体" w:cs="宋体"/>
          <w:bCs/>
        </w:rPr>
      </w:pPr>
      <w:bookmarkStart w:id="547" w:name="_Toc26845"/>
      <w:r>
        <w:rPr>
          <w:rFonts w:hint="eastAsia" w:hAnsi="宋体" w:cs="宋体"/>
          <w:bCs/>
        </w:rPr>
        <w:t>（4）磋商文件将供应商的资格条件列为评分因素的；</w:t>
      </w:r>
      <w:bookmarkEnd w:id="547"/>
    </w:p>
    <w:p w14:paraId="1ED0B172">
      <w:pPr>
        <w:spacing w:line="360" w:lineRule="auto"/>
        <w:ind w:firstLine="480" w:firstLineChars="200"/>
        <w:rPr>
          <w:rFonts w:hAnsi="宋体" w:cs="宋体"/>
          <w:bCs/>
        </w:rPr>
      </w:pPr>
      <w:bookmarkStart w:id="548" w:name="_Toc2602"/>
      <w:r>
        <w:rPr>
          <w:rFonts w:hint="eastAsia" w:hAnsi="宋体" w:cs="宋体"/>
          <w:bCs/>
        </w:rPr>
        <w:t>（5）磋商文件载明的成交原则不合法的；</w:t>
      </w:r>
      <w:bookmarkEnd w:id="548"/>
    </w:p>
    <w:p w14:paraId="46E52881">
      <w:pPr>
        <w:spacing w:line="360" w:lineRule="auto"/>
        <w:ind w:firstLine="480" w:firstLineChars="200"/>
        <w:rPr>
          <w:rFonts w:hAnsi="宋体" w:cs="宋体"/>
          <w:bCs/>
        </w:rPr>
      </w:pPr>
      <w:bookmarkStart w:id="549" w:name="_Toc18123"/>
      <w:r>
        <w:rPr>
          <w:rFonts w:hint="eastAsia" w:hAnsi="宋体" w:cs="宋体"/>
          <w:bCs/>
        </w:rPr>
        <w:t>（6）磋商文件有违反国家其他有关强制性规定的情形。</w:t>
      </w:r>
      <w:bookmarkEnd w:id="549"/>
    </w:p>
    <w:p w14:paraId="7E23B8CF">
      <w:pPr>
        <w:spacing w:line="360" w:lineRule="auto"/>
        <w:ind w:firstLine="480" w:firstLineChars="200"/>
        <w:rPr>
          <w:rFonts w:hAnsi="宋体" w:cs="宋体"/>
          <w:bCs/>
        </w:rPr>
      </w:pPr>
      <w:bookmarkStart w:id="550" w:name="_Toc18303"/>
      <w:r>
        <w:rPr>
          <w:rFonts w:hint="eastAsia" w:hAnsi="宋体" w:cs="宋体"/>
          <w:bCs/>
        </w:rPr>
        <w:t>1.3 出现本条1.2规定应当停止评审情形的，磋商小组应当向采购单位书面说明情况。除本条规定的情形外，磋商小组不得以任何方式和理由停止评审。</w:t>
      </w:r>
      <w:bookmarkEnd w:id="550"/>
    </w:p>
    <w:p w14:paraId="0A211A65">
      <w:pPr>
        <w:spacing w:line="360" w:lineRule="auto"/>
        <w:ind w:firstLine="482" w:firstLineChars="200"/>
        <w:rPr>
          <w:rFonts w:hAnsi="宋体" w:cs="宋体"/>
          <w:b/>
          <w:bCs/>
        </w:rPr>
      </w:pPr>
      <w:bookmarkStart w:id="551" w:name="_Toc6414"/>
      <w:r>
        <w:rPr>
          <w:rFonts w:hAnsi="宋体" w:cs="宋体"/>
          <w:b/>
          <w:bCs/>
        </w:rPr>
        <w:t>2、</w:t>
      </w:r>
      <w:r>
        <w:rPr>
          <w:rFonts w:hint="eastAsia" w:hAnsi="宋体" w:cs="宋体"/>
          <w:b/>
          <w:bCs/>
        </w:rPr>
        <w:t>资格性审查。</w:t>
      </w:r>
      <w:bookmarkEnd w:id="551"/>
    </w:p>
    <w:p w14:paraId="24432378">
      <w:pPr>
        <w:spacing w:line="360" w:lineRule="auto"/>
        <w:ind w:firstLine="480" w:firstLineChars="200"/>
        <w:rPr>
          <w:rFonts w:hAnsi="宋体" w:cs="宋体"/>
          <w:bCs/>
        </w:rPr>
      </w:pPr>
      <w:bookmarkStart w:id="552" w:name="_Toc783"/>
      <w:r>
        <w:rPr>
          <w:rFonts w:hint="eastAsia" w:hAnsi="宋体" w:cs="宋体"/>
          <w:bCs/>
        </w:rPr>
        <w:t>2.1本项目需要磋商小组进行资格性检查。</w:t>
      </w:r>
      <w:bookmarkEnd w:id="552"/>
    </w:p>
    <w:p w14:paraId="17CC7AE1">
      <w:pPr>
        <w:spacing w:line="360" w:lineRule="auto"/>
        <w:ind w:firstLine="480" w:firstLineChars="200"/>
        <w:rPr>
          <w:rFonts w:hAnsi="宋体" w:cs="宋体"/>
          <w:bCs/>
        </w:rPr>
      </w:pPr>
      <w:bookmarkStart w:id="553" w:name="_Toc23532"/>
      <w:r>
        <w:rPr>
          <w:rFonts w:hint="eastAsia" w:hAnsi="宋体" w:cs="宋体"/>
          <w:bCs/>
        </w:rPr>
        <w:t>磋商小组应依据法律法规和磋商文件的规定，对响应文件是否按照规定要求提供资格性证明材料、是否属于禁止参加磋商的供应商等进行审查，以确定供应商是否具备磋商资格。</w:t>
      </w:r>
      <w:bookmarkEnd w:id="553"/>
    </w:p>
    <w:p w14:paraId="423B5B00">
      <w:pPr>
        <w:spacing w:line="360" w:lineRule="auto"/>
        <w:ind w:firstLine="480" w:firstLineChars="200"/>
        <w:rPr>
          <w:rFonts w:hAnsi="宋体" w:cs="宋体"/>
          <w:bCs/>
        </w:rPr>
      </w:pPr>
      <w:bookmarkStart w:id="554" w:name="_Toc13287"/>
      <w:r>
        <w:rPr>
          <w:rFonts w:hint="eastAsia" w:hAnsi="宋体" w:cs="宋体"/>
          <w:bCs/>
        </w:rPr>
        <w:t>2.2资格性审查结束后，磋商小组应当出具资格性审查报告，没有通过资格审查的供应商，磋商小组应当在资格审查报告中说明原因。</w:t>
      </w:r>
      <w:bookmarkEnd w:id="554"/>
    </w:p>
    <w:p w14:paraId="1A9D89D7">
      <w:pPr>
        <w:spacing w:line="360" w:lineRule="auto"/>
        <w:ind w:firstLine="480" w:firstLineChars="200"/>
        <w:rPr>
          <w:rFonts w:hAnsi="宋体" w:cs="宋体"/>
          <w:bCs/>
        </w:rPr>
      </w:pPr>
      <w:bookmarkStart w:id="555" w:name="_Toc20150"/>
      <w:r>
        <w:rPr>
          <w:rFonts w:hint="eastAsia" w:hAnsi="宋体" w:cs="宋体"/>
          <w:bCs/>
        </w:rPr>
        <w:t>2.3磋商小组应依据磋商文件规定的实质性要求，对符合资格的响应文件进行有效性、完整性和响应程度审查，以确定参加磋商的供应商名单。</w:t>
      </w:r>
      <w:bookmarkEnd w:id="555"/>
    </w:p>
    <w:p w14:paraId="77DAA3A5">
      <w:pPr>
        <w:spacing w:line="360" w:lineRule="auto"/>
        <w:ind w:firstLine="480" w:firstLineChars="200"/>
        <w:rPr>
          <w:rFonts w:hAnsi="宋体" w:cs="宋体"/>
          <w:bCs/>
        </w:rPr>
      </w:pPr>
      <w:bookmarkStart w:id="556" w:name="_Toc30390"/>
      <w:r>
        <w:rPr>
          <w:rFonts w:hint="eastAsia" w:hAnsi="宋体" w:cs="宋体"/>
          <w:bCs/>
        </w:rPr>
        <w:t>2.4采购单位或者采购代理机构宣布未通过资格性审查的供应商名单时，应当告知供应商未通过审查的原因。</w:t>
      </w:r>
      <w:bookmarkEnd w:id="556"/>
    </w:p>
    <w:p w14:paraId="5DA91D50">
      <w:pPr>
        <w:spacing w:line="360" w:lineRule="auto"/>
        <w:ind w:firstLine="482" w:firstLineChars="200"/>
        <w:rPr>
          <w:rFonts w:hAnsi="宋体" w:cs="宋体"/>
          <w:b/>
          <w:bCs/>
        </w:rPr>
      </w:pPr>
      <w:bookmarkStart w:id="557" w:name="_Toc13145"/>
      <w:r>
        <w:rPr>
          <w:rFonts w:hAnsi="宋体" w:cs="宋体"/>
          <w:b/>
          <w:bCs/>
        </w:rPr>
        <w:t>2.5</w:t>
      </w:r>
      <w:r>
        <w:rPr>
          <w:rFonts w:hint="eastAsia" w:hAnsi="宋体" w:cs="宋体"/>
          <w:b/>
          <w:bCs/>
        </w:rPr>
        <w:t>本项目通过资格性审查的供应商不足3家的，采购代理机构将终止本次采购活动，并发布终止采购活动公告。</w:t>
      </w:r>
      <w:bookmarkEnd w:id="557"/>
    </w:p>
    <w:p w14:paraId="1BC0E6DC">
      <w:pPr>
        <w:spacing w:line="360" w:lineRule="auto"/>
        <w:ind w:firstLine="482" w:firstLineChars="200"/>
        <w:rPr>
          <w:rFonts w:hAnsi="宋体" w:cs="宋体"/>
          <w:b/>
          <w:bCs/>
        </w:rPr>
      </w:pPr>
      <w:bookmarkStart w:id="558" w:name="_Toc17846"/>
      <w:r>
        <w:rPr>
          <w:rFonts w:hAnsi="宋体" w:cs="宋体"/>
          <w:b/>
          <w:bCs/>
        </w:rPr>
        <w:t>3、</w:t>
      </w:r>
      <w:r>
        <w:rPr>
          <w:rFonts w:hint="eastAsia" w:hAnsi="宋体" w:cs="宋体"/>
          <w:b/>
          <w:bCs/>
        </w:rPr>
        <w:t>响应文件无效的情形</w:t>
      </w:r>
    </w:p>
    <w:p w14:paraId="1D3D0393">
      <w:pPr>
        <w:spacing w:line="360" w:lineRule="auto"/>
        <w:ind w:firstLine="480" w:firstLineChars="200"/>
        <w:rPr>
          <w:rFonts w:hAnsi="宋体" w:cs="宋体"/>
          <w:bCs/>
        </w:rPr>
      </w:pPr>
      <w:r>
        <w:rPr>
          <w:rFonts w:hint="eastAsia" w:hAnsi="宋体" w:cs="宋体"/>
          <w:bCs/>
        </w:rPr>
        <w:t>有下列情况之一者，其响应文件无效；</w:t>
      </w:r>
    </w:p>
    <w:p w14:paraId="72126397">
      <w:pPr>
        <w:spacing w:line="360" w:lineRule="auto"/>
        <w:ind w:firstLine="480" w:firstLineChars="200"/>
        <w:rPr>
          <w:rFonts w:hAnsi="宋体" w:cs="宋体"/>
          <w:bCs/>
        </w:rPr>
      </w:pPr>
      <w:r>
        <w:rPr>
          <w:rFonts w:hAnsi="宋体" w:cs="宋体"/>
          <w:bCs/>
        </w:rPr>
        <w:t>3</w:t>
      </w:r>
      <w:r>
        <w:rPr>
          <w:rFonts w:hint="eastAsia" w:hAnsi="宋体" w:cs="宋体"/>
          <w:bCs/>
        </w:rPr>
        <w:t>.3.1未按照规定要求提供资格性证明材料；</w:t>
      </w:r>
    </w:p>
    <w:p w14:paraId="6CFC61DA">
      <w:pPr>
        <w:spacing w:line="360" w:lineRule="auto"/>
        <w:ind w:firstLine="480" w:firstLineChars="200"/>
        <w:rPr>
          <w:rFonts w:hAnsi="宋体" w:cs="宋体"/>
          <w:bCs/>
        </w:rPr>
      </w:pPr>
      <w:r>
        <w:rPr>
          <w:rFonts w:hAnsi="宋体" w:cs="宋体"/>
          <w:bCs/>
        </w:rPr>
        <w:t>3</w:t>
      </w:r>
      <w:r>
        <w:rPr>
          <w:rFonts w:hint="eastAsia" w:hAnsi="宋体" w:cs="宋体"/>
          <w:bCs/>
        </w:rPr>
        <w:t>.3.2属于禁止参加本次招标活动的供应商；</w:t>
      </w:r>
    </w:p>
    <w:p w14:paraId="0C7336FD">
      <w:pPr>
        <w:spacing w:line="360" w:lineRule="auto"/>
        <w:ind w:firstLine="480" w:firstLineChars="200"/>
        <w:rPr>
          <w:rFonts w:hAnsi="宋体" w:cs="宋体"/>
          <w:bCs/>
        </w:rPr>
      </w:pPr>
      <w:r>
        <w:rPr>
          <w:rFonts w:hAnsi="宋体" w:cs="宋体"/>
          <w:bCs/>
        </w:rPr>
        <w:t>3</w:t>
      </w:r>
      <w:r>
        <w:rPr>
          <w:rFonts w:hint="eastAsia" w:hAnsi="宋体" w:cs="宋体"/>
          <w:bCs/>
        </w:rPr>
        <w:t>.3.3未按规定交纳磋商保证金的；</w:t>
      </w:r>
    </w:p>
    <w:p w14:paraId="2119F15B">
      <w:pPr>
        <w:spacing w:line="360" w:lineRule="auto"/>
        <w:ind w:firstLine="480" w:firstLineChars="200"/>
        <w:rPr>
          <w:rFonts w:hAnsi="宋体" w:cs="宋体"/>
          <w:bCs/>
        </w:rPr>
      </w:pPr>
      <w:r>
        <w:rPr>
          <w:rFonts w:hAnsi="宋体" w:cs="宋体"/>
          <w:bCs/>
        </w:rPr>
        <w:t>3</w:t>
      </w:r>
      <w:r>
        <w:rPr>
          <w:rFonts w:hint="eastAsia" w:hAnsi="宋体" w:cs="宋体"/>
          <w:bCs/>
        </w:rPr>
        <w:t>.3.4响应文件正副本数量不足的；</w:t>
      </w:r>
    </w:p>
    <w:p w14:paraId="6DEC1AF3">
      <w:pPr>
        <w:spacing w:line="360" w:lineRule="auto"/>
        <w:ind w:firstLine="480" w:firstLineChars="200"/>
        <w:rPr>
          <w:rFonts w:hAnsi="宋体" w:cs="宋体"/>
          <w:bCs/>
        </w:rPr>
      </w:pPr>
      <w:r>
        <w:rPr>
          <w:rFonts w:hAnsi="宋体" w:cs="宋体"/>
          <w:bCs/>
        </w:rPr>
        <w:t>3</w:t>
      </w:r>
      <w:r>
        <w:rPr>
          <w:rFonts w:hint="eastAsia" w:hAnsi="宋体" w:cs="宋体"/>
          <w:bCs/>
        </w:rPr>
        <w:t>.3.5响应文件未按要求密封、签署、盖章的（磋商文件明确不作为实质性要求的除外）；</w:t>
      </w:r>
    </w:p>
    <w:p w14:paraId="11B3E589">
      <w:pPr>
        <w:spacing w:line="360" w:lineRule="auto"/>
        <w:ind w:firstLine="480" w:firstLineChars="200"/>
        <w:rPr>
          <w:rFonts w:hAnsi="宋体" w:cs="宋体"/>
          <w:bCs/>
        </w:rPr>
      </w:pPr>
      <w:r>
        <w:rPr>
          <w:rFonts w:hAnsi="宋体" w:cs="宋体"/>
          <w:bCs/>
        </w:rPr>
        <w:t>3</w:t>
      </w:r>
      <w:r>
        <w:rPr>
          <w:rFonts w:hint="eastAsia" w:hAnsi="宋体" w:cs="宋体"/>
          <w:bCs/>
        </w:rPr>
        <w:t>.3.6供应商的法定代表人或授权代理人，未准时参加磋商会议的；</w:t>
      </w:r>
    </w:p>
    <w:p w14:paraId="2E1E413C">
      <w:pPr>
        <w:spacing w:line="360" w:lineRule="auto"/>
        <w:ind w:firstLine="480" w:firstLineChars="200"/>
        <w:rPr>
          <w:rFonts w:hAnsi="宋体" w:cs="宋体"/>
          <w:bCs/>
        </w:rPr>
      </w:pPr>
      <w:r>
        <w:rPr>
          <w:rFonts w:hAnsi="宋体" w:cs="宋体"/>
          <w:bCs/>
        </w:rPr>
        <w:t>3</w:t>
      </w:r>
      <w:r>
        <w:rPr>
          <w:rFonts w:hint="eastAsia" w:hAnsi="宋体" w:cs="宋体"/>
          <w:bCs/>
        </w:rPr>
        <w:t>.3.7法定代表人参加未提供身份证明书原件及法定代表人身份证明复印件的；非法定代表人参加，未提供法定代表人身份证明书、法定代表人身份证明、法定代表人授权委托书原件和代理人身份证明复印件的；</w:t>
      </w:r>
    </w:p>
    <w:p w14:paraId="3CA1DCCB">
      <w:pPr>
        <w:spacing w:line="360" w:lineRule="auto"/>
        <w:ind w:firstLine="480" w:firstLineChars="200"/>
        <w:rPr>
          <w:rFonts w:hAnsi="宋体" w:cs="宋体"/>
          <w:bCs/>
        </w:rPr>
      </w:pPr>
      <w:r>
        <w:rPr>
          <w:rFonts w:hAnsi="宋体" w:cs="宋体"/>
          <w:bCs/>
        </w:rPr>
        <w:t>3</w:t>
      </w:r>
      <w:r>
        <w:rPr>
          <w:rFonts w:hint="eastAsia" w:hAnsi="宋体" w:cs="宋体"/>
          <w:bCs/>
        </w:rPr>
        <w:t>.3.8响应文件的格式、语言、计量单位、报价货币、知识产权、磋商有效期等不符合磋商文件的规定，且影响磋商小组评判的；</w:t>
      </w:r>
    </w:p>
    <w:p w14:paraId="2BA703D6">
      <w:pPr>
        <w:spacing w:line="360" w:lineRule="auto"/>
        <w:ind w:firstLine="480" w:firstLineChars="200"/>
        <w:rPr>
          <w:rFonts w:hAnsi="宋体" w:cs="宋体"/>
          <w:bCs/>
        </w:rPr>
      </w:pPr>
      <w:r>
        <w:rPr>
          <w:rFonts w:hAnsi="宋体" w:cs="宋体"/>
          <w:bCs/>
        </w:rPr>
        <w:t>3</w:t>
      </w:r>
      <w:r>
        <w:rPr>
          <w:rFonts w:hint="eastAsia" w:hAnsi="宋体" w:cs="宋体"/>
          <w:bCs/>
        </w:rPr>
        <w:t>.3.9响应文件书写潦草、字迹模糊不清、无法辨认的；</w:t>
      </w:r>
    </w:p>
    <w:p w14:paraId="644F08F7">
      <w:pPr>
        <w:spacing w:line="360" w:lineRule="auto"/>
        <w:ind w:firstLine="480" w:firstLineChars="200"/>
        <w:rPr>
          <w:rFonts w:hAnsi="宋体" w:cs="宋体"/>
          <w:bCs/>
        </w:rPr>
      </w:pPr>
      <w:r>
        <w:rPr>
          <w:rFonts w:hAnsi="宋体" w:cs="宋体"/>
          <w:bCs/>
        </w:rPr>
        <w:t>3</w:t>
      </w:r>
      <w:r>
        <w:rPr>
          <w:rFonts w:hint="eastAsia" w:hAnsi="宋体" w:cs="宋体"/>
          <w:bCs/>
        </w:rPr>
        <w:t>.3.10响应文件中有磋商文件未允许提供的选择性内容的；</w:t>
      </w:r>
    </w:p>
    <w:p w14:paraId="631349BA">
      <w:pPr>
        <w:spacing w:line="360" w:lineRule="auto"/>
        <w:ind w:firstLine="480" w:firstLineChars="200"/>
        <w:rPr>
          <w:rFonts w:hAnsi="宋体" w:cs="宋体"/>
          <w:bCs/>
        </w:rPr>
      </w:pPr>
      <w:r>
        <w:rPr>
          <w:rFonts w:hAnsi="宋体" w:cs="宋体"/>
          <w:bCs/>
        </w:rPr>
        <w:t>3</w:t>
      </w:r>
      <w:r>
        <w:rPr>
          <w:rFonts w:hint="eastAsia" w:hAnsi="宋体" w:cs="宋体"/>
          <w:bCs/>
        </w:rPr>
        <w:t>.3.11不同供应商响应文件相互混装的；</w:t>
      </w:r>
    </w:p>
    <w:p w14:paraId="0AD4DB4A">
      <w:pPr>
        <w:spacing w:line="360" w:lineRule="auto"/>
        <w:ind w:firstLine="480" w:firstLineChars="200"/>
        <w:rPr>
          <w:rFonts w:hAnsi="宋体" w:cs="宋体"/>
          <w:bCs/>
        </w:rPr>
      </w:pPr>
      <w:r>
        <w:rPr>
          <w:rFonts w:hAnsi="宋体" w:cs="宋体"/>
          <w:bCs/>
        </w:rPr>
        <w:t>3</w:t>
      </w:r>
      <w:r>
        <w:rPr>
          <w:rFonts w:hint="eastAsia" w:hAnsi="宋体" w:cs="宋体"/>
          <w:bCs/>
        </w:rPr>
        <w:t>.3.12不同供应商响应文件中的项目相关人员出现同一人的；</w:t>
      </w:r>
    </w:p>
    <w:p w14:paraId="7800C0A6">
      <w:pPr>
        <w:spacing w:line="360" w:lineRule="auto"/>
        <w:ind w:firstLine="480" w:firstLineChars="200"/>
        <w:rPr>
          <w:rFonts w:hAnsi="宋体" w:cs="宋体"/>
          <w:bCs/>
        </w:rPr>
      </w:pPr>
      <w:r>
        <w:rPr>
          <w:rFonts w:hAnsi="宋体" w:cs="宋体"/>
          <w:bCs/>
        </w:rPr>
        <w:t>3</w:t>
      </w:r>
      <w:r>
        <w:rPr>
          <w:rFonts w:hint="eastAsia" w:hAnsi="宋体" w:cs="宋体"/>
          <w:bCs/>
        </w:rPr>
        <w:t>.3.13不同供应商聘请同一人为其磋商提供技术或经济咨询服务的；</w:t>
      </w:r>
    </w:p>
    <w:p w14:paraId="785C8528">
      <w:pPr>
        <w:spacing w:line="360" w:lineRule="auto"/>
        <w:ind w:firstLine="480" w:firstLineChars="200"/>
        <w:rPr>
          <w:rFonts w:hAnsi="宋体" w:cs="宋体"/>
          <w:bCs/>
        </w:rPr>
      </w:pPr>
      <w:r>
        <w:rPr>
          <w:rFonts w:hAnsi="宋体" w:cs="宋体"/>
          <w:bCs/>
        </w:rPr>
        <w:t>3</w:t>
      </w:r>
      <w:r>
        <w:rPr>
          <w:rFonts w:hint="eastAsia" w:hAnsi="宋体" w:cs="宋体"/>
          <w:bCs/>
        </w:rPr>
        <w:t xml:space="preserve">.3.14不同供应商的响应文件内容出现非正常一致的； </w:t>
      </w:r>
    </w:p>
    <w:p w14:paraId="499B8875">
      <w:pPr>
        <w:spacing w:line="360" w:lineRule="auto"/>
        <w:ind w:firstLine="480" w:firstLineChars="200"/>
        <w:rPr>
          <w:rFonts w:hAnsi="宋体" w:cs="宋体"/>
          <w:bCs/>
        </w:rPr>
      </w:pPr>
      <w:r>
        <w:rPr>
          <w:rFonts w:hAnsi="宋体" w:cs="宋体"/>
          <w:bCs/>
        </w:rPr>
        <w:t>3</w:t>
      </w:r>
      <w:r>
        <w:rPr>
          <w:rFonts w:hint="eastAsia" w:hAnsi="宋体" w:cs="宋体"/>
          <w:bCs/>
        </w:rPr>
        <w:t>.3.15不同供应商报价细目呈明显规律性变化，故意哄抬价格或压价等其它恶意串通报价的；</w:t>
      </w:r>
    </w:p>
    <w:p w14:paraId="0CAC8D46">
      <w:pPr>
        <w:spacing w:line="360" w:lineRule="auto"/>
        <w:ind w:firstLine="480" w:firstLineChars="200"/>
        <w:rPr>
          <w:rFonts w:hAnsi="宋体" w:cs="宋体"/>
          <w:bCs/>
        </w:rPr>
      </w:pPr>
      <w:r>
        <w:rPr>
          <w:rFonts w:hAnsi="宋体" w:cs="宋体"/>
          <w:bCs/>
        </w:rPr>
        <w:t>3</w:t>
      </w:r>
      <w:r>
        <w:rPr>
          <w:rFonts w:hint="eastAsia" w:hAnsi="宋体" w:cs="宋体"/>
          <w:bCs/>
        </w:rPr>
        <w:t>.3.16最后报价不符合磋商文件规定的价格标底和其他报价规定的；</w:t>
      </w:r>
    </w:p>
    <w:p w14:paraId="4DD5B278">
      <w:pPr>
        <w:spacing w:line="360" w:lineRule="auto"/>
        <w:ind w:firstLine="480" w:firstLineChars="200"/>
        <w:rPr>
          <w:rFonts w:hAnsi="宋体" w:cs="宋体"/>
          <w:bCs/>
        </w:rPr>
      </w:pPr>
      <w:r>
        <w:rPr>
          <w:rFonts w:hAnsi="宋体" w:cs="宋体"/>
          <w:bCs/>
        </w:rPr>
        <w:t>3</w:t>
      </w:r>
      <w:r>
        <w:rPr>
          <w:rFonts w:hint="eastAsia" w:hAnsi="宋体" w:cs="宋体"/>
          <w:bCs/>
        </w:rPr>
        <w:t>.3.17提供虚假材料的（包括工商营业执照、财务报表、资格证明文件等）；</w:t>
      </w:r>
    </w:p>
    <w:p w14:paraId="38059C49">
      <w:pPr>
        <w:spacing w:line="360" w:lineRule="auto"/>
        <w:ind w:firstLine="480" w:firstLineChars="200"/>
        <w:rPr>
          <w:rFonts w:hAnsi="宋体" w:cs="宋体"/>
          <w:bCs/>
        </w:rPr>
      </w:pPr>
      <w:r>
        <w:rPr>
          <w:rFonts w:hAnsi="宋体" w:cs="宋体"/>
          <w:bCs/>
        </w:rPr>
        <w:t>3</w:t>
      </w:r>
      <w:r>
        <w:rPr>
          <w:rFonts w:hint="eastAsia" w:hAnsi="宋体" w:cs="宋体"/>
          <w:bCs/>
        </w:rPr>
        <w:t>.3.18响应文件内容不全或不符合法律法规规定或不满足磋商文件中规定的相关实质性要求的；</w:t>
      </w:r>
    </w:p>
    <w:p w14:paraId="4BFC57F2">
      <w:pPr>
        <w:spacing w:line="360" w:lineRule="auto"/>
        <w:ind w:firstLine="480" w:firstLineChars="200"/>
        <w:rPr>
          <w:rFonts w:hAnsi="宋体" w:cs="宋体"/>
          <w:bCs/>
        </w:rPr>
      </w:pPr>
      <w:r>
        <w:rPr>
          <w:rFonts w:hAnsi="宋体" w:cs="宋体"/>
          <w:bCs/>
        </w:rPr>
        <w:t>3</w:t>
      </w:r>
      <w:r>
        <w:rPr>
          <w:rFonts w:hint="eastAsia" w:hAnsi="宋体" w:cs="宋体"/>
          <w:bCs/>
        </w:rPr>
        <w:t>.3.19法律、法规或磋商文件规定的其他作无效竞磋处理或响应文件无效的情形。</w:t>
      </w:r>
    </w:p>
    <w:p w14:paraId="0CFCFD10">
      <w:pPr>
        <w:spacing w:line="360" w:lineRule="auto"/>
        <w:ind w:firstLine="482" w:firstLineChars="200"/>
        <w:rPr>
          <w:rFonts w:hAnsi="宋体" w:cs="宋体"/>
          <w:b/>
          <w:bCs/>
        </w:rPr>
      </w:pPr>
      <w:r>
        <w:rPr>
          <w:rFonts w:hAnsi="宋体" w:cs="宋体"/>
          <w:b/>
          <w:bCs/>
        </w:rPr>
        <w:t>4、</w:t>
      </w:r>
      <w:r>
        <w:rPr>
          <w:rFonts w:hint="eastAsia" w:hAnsi="宋体" w:cs="宋体"/>
          <w:b/>
          <w:bCs/>
        </w:rPr>
        <w:t>磋商。</w:t>
      </w:r>
      <w:bookmarkEnd w:id="558"/>
    </w:p>
    <w:p w14:paraId="73466090">
      <w:pPr>
        <w:spacing w:line="360" w:lineRule="auto"/>
        <w:ind w:firstLine="480" w:firstLineChars="200"/>
        <w:rPr>
          <w:rFonts w:hAnsi="宋体" w:cs="宋体"/>
          <w:bCs/>
        </w:rPr>
      </w:pPr>
      <w:bookmarkStart w:id="559" w:name="_Toc17218"/>
      <w:r>
        <w:rPr>
          <w:rFonts w:hint="eastAsia" w:hAnsi="宋体" w:cs="宋体"/>
          <w:bCs/>
        </w:rPr>
        <w:t>4.1磋商小组所有成员集中与单一供应商分别进行一轮或多轮磋商，并给予所有参加磋商的供应商平等的磋商机会。磋商顺序以现场抽签的方式确定。磋商过程中，磋商小组可以根据磋商情况调整磋商轮次。</w:t>
      </w:r>
      <w:bookmarkEnd w:id="559"/>
    </w:p>
    <w:p w14:paraId="50F90F19">
      <w:pPr>
        <w:spacing w:line="360" w:lineRule="auto"/>
        <w:ind w:firstLine="480" w:firstLineChars="200"/>
        <w:rPr>
          <w:rFonts w:hAnsi="宋体" w:cs="宋体"/>
          <w:bCs/>
        </w:rPr>
      </w:pPr>
      <w:bookmarkStart w:id="560" w:name="_Toc17510"/>
      <w:r>
        <w:rPr>
          <w:rFonts w:hint="eastAsia" w:hAnsi="宋体" w:cs="宋体"/>
          <w:bCs/>
        </w:rPr>
        <w:t>4.2每轮磋商开始前，磋商小组应根据磋商文件的规定，并结合各供应商的响应文件拟定磋商内容。</w:t>
      </w:r>
      <w:bookmarkEnd w:id="560"/>
    </w:p>
    <w:p w14:paraId="096A970A">
      <w:pPr>
        <w:spacing w:line="360" w:lineRule="auto"/>
        <w:ind w:firstLine="480" w:firstLineChars="200"/>
        <w:rPr>
          <w:rFonts w:hAnsi="宋体" w:cs="宋体"/>
          <w:bCs/>
        </w:rPr>
      </w:pPr>
      <w:bookmarkStart w:id="561" w:name="_Toc19598"/>
      <w:r>
        <w:rPr>
          <w:rFonts w:hint="eastAsia" w:hAnsi="宋体" w:cs="宋体"/>
          <w:bCs/>
        </w:rPr>
        <w:t>4.3在磋商过程中，磋商小组可以根据磋商文件和磋商情况实质性变动磋商文件的技术、服务要求以及合同草案条款，但不得变动磋商文件中的其他内容。实质性变动的内容，须经采购单位代表书面确认。</w:t>
      </w:r>
      <w:bookmarkEnd w:id="561"/>
    </w:p>
    <w:p w14:paraId="7E5AE78D">
      <w:pPr>
        <w:spacing w:line="360" w:lineRule="auto"/>
        <w:ind w:firstLine="480" w:firstLineChars="200"/>
        <w:rPr>
          <w:rFonts w:hAnsi="宋体" w:cs="宋体"/>
          <w:bCs/>
        </w:rPr>
      </w:pPr>
      <w:bookmarkStart w:id="562" w:name="_Toc26251"/>
      <w:r>
        <w:rPr>
          <w:rFonts w:hint="eastAsia" w:hAnsi="宋体" w:cs="宋体"/>
          <w:bCs/>
        </w:rPr>
        <w:t>4.4对磋商文件作出的实质性变动是磋商文件的有效组成部分，磋商小组应当及时以书面形式同时通知所有参加磋商的供应商。</w:t>
      </w:r>
      <w:bookmarkEnd w:id="562"/>
    </w:p>
    <w:p w14:paraId="453D0EB7">
      <w:pPr>
        <w:spacing w:line="360" w:lineRule="auto"/>
        <w:ind w:firstLine="480" w:firstLineChars="200"/>
        <w:rPr>
          <w:rFonts w:hAnsi="宋体" w:cs="宋体"/>
          <w:bCs/>
        </w:rPr>
      </w:pPr>
      <w:bookmarkStart w:id="563" w:name="_Toc16803"/>
      <w:r>
        <w:rPr>
          <w:rFonts w:hint="eastAsia" w:hAnsi="宋体" w:cs="宋体"/>
          <w:bCs/>
        </w:rPr>
        <w:t>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bookmarkEnd w:id="563"/>
    </w:p>
    <w:p w14:paraId="2F21D797">
      <w:pPr>
        <w:spacing w:line="360" w:lineRule="auto"/>
        <w:ind w:firstLine="480" w:firstLineChars="200"/>
        <w:rPr>
          <w:rFonts w:hAnsi="宋体" w:cs="宋体"/>
          <w:bCs/>
        </w:rPr>
      </w:pPr>
      <w:bookmarkStart w:id="564" w:name="_Toc13276"/>
      <w:r>
        <w:rPr>
          <w:rFonts w:hint="eastAsia" w:hAnsi="宋体" w:cs="宋体"/>
          <w:bCs/>
        </w:rPr>
        <w:t>4.6磋商过程中，磋商的任何一方不得透露与磋商有关的其他供应商的技术资料、价格和其他信息。</w:t>
      </w:r>
      <w:bookmarkEnd w:id="564"/>
    </w:p>
    <w:p w14:paraId="3C687088">
      <w:pPr>
        <w:spacing w:line="360" w:lineRule="auto"/>
        <w:ind w:firstLine="480" w:firstLineChars="200"/>
        <w:rPr>
          <w:rFonts w:hAnsi="宋体" w:cs="宋体"/>
          <w:bCs/>
        </w:rPr>
      </w:pPr>
      <w:bookmarkStart w:id="565" w:name="_Toc5795"/>
      <w:r>
        <w:rPr>
          <w:rFonts w:hint="eastAsia" w:hAnsi="宋体" w:cs="宋体"/>
          <w:bCs/>
        </w:rPr>
        <w:t>4.7磋商过程中，磋商小组发现或者知晓供应商存在违法、违纪行为的，磋商小组应当将该供应商响应文件作无效处理，不允许其提交最后报价。</w:t>
      </w:r>
      <w:bookmarkEnd w:id="565"/>
    </w:p>
    <w:p w14:paraId="01E1994F">
      <w:pPr>
        <w:spacing w:line="360" w:lineRule="auto"/>
        <w:ind w:firstLine="480" w:firstLineChars="200"/>
        <w:rPr>
          <w:rFonts w:hAnsi="宋体" w:cs="宋体"/>
          <w:bCs/>
        </w:rPr>
      </w:pPr>
      <w:bookmarkStart w:id="566" w:name="_Toc13872"/>
      <w:r>
        <w:rPr>
          <w:rFonts w:hint="eastAsia" w:hAnsi="宋体" w:cs="宋体"/>
          <w:bCs/>
        </w:rPr>
        <w:t>4.8磋商完成后，磋商小组应出具磋商情况记录表，磋商情况记录表需包含磋商内容、磋商意见、实质性变动内容等。</w:t>
      </w:r>
      <w:bookmarkEnd w:id="566"/>
    </w:p>
    <w:p w14:paraId="6C89D915">
      <w:pPr>
        <w:spacing w:line="360" w:lineRule="auto"/>
        <w:ind w:firstLine="482" w:firstLineChars="200"/>
        <w:rPr>
          <w:rFonts w:hAnsi="宋体" w:cs="宋体"/>
          <w:b/>
          <w:bCs/>
        </w:rPr>
      </w:pPr>
      <w:r>
        <w:rPr>
          <w:rFonts w:hAnsi="宋体" w:cs="宋体"/>
          <w:b/>
          <w:bCs/>
        </w:rPr>
        <w:t>5、</w:t>
      </w:r>
      <w:r>
        <w:rPr>
          <w:rFonts w:hint="eastAsia" w:hAnsi="宋体" w:cs="宋体"/>
          <w:b/>
          <w:bCs/>
        </w:rPr>
        <w:t>最后报价。</w:t>
      </w:r>
    </w:p>
    <w:p w14:paraId="38C7533D">
      <w:pPr>
        <w:spacing w:line="360" w:lineRule="auto"/>
        <w:ind w:firstLine="480" w:firstLineChars="200"/>
        <w:rPr>
          <w:rFonts w:hAnsi="宋体" w:cs="宋体"/>
          <w:bCs/>
        </w:rPr>
      </w:pPr>
      <w:r>
        <w:rPr>
          <w:rFonts w:hint="eastAsia" w:hAnsi="宋体" w:cs="宋体"/>
          <w:bCs/>
        </w:rPr>
        <w:t>5.1磋商文件能够详细列明采购标的的技术、服务要求的，磋商结束后，磋商小组应当要求所有实质性响应的供应商在规定时间内提交最后报价，提交最后报价的供应商不得少于</w:t>
      </w:r>
      <w:r>
        <w:rPr>
          <w:rFonts w:hAnsi="宋体" w:cs="宋体"/>
          <w:bCs/>
        </w:rPr>
        <w:t>3</w:t>
      </w:r>
      <w:r>
        <w:rPr>
          <w:rFonts w:hint="eastAsia" w:hAnsi="宋体" w:cs="宋体"/>
          <w:bCs/>
        </w:rPr>
        <w:t>家。或磋商文件不能详细列明招标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7CF0172">
      <w:pPr>
        <w:spacing w:line="360" w:lineRule="auto"/>
        <w:ind w:firstLine="480" w:firstLineChars="200"/>
        <w:rPr>
          <w:rFonts w:hAnsi="宋体" w:cs="宋体"/>
          <w:bCs/>
        </w:rPr>
      </w:pPr>
      <w:r>
        <w:rPr>
          <w:rFonts w:hint="eastAsia" w:hAnsi="宋体" w:cs="宋体"/>
          <w:bCs/>
        </w:rPr>
        <w:t>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683F34AA">
      <w:pPr>
        <w:spacing w:line="360" w:lineRule="auto"/>
        <w:ind w:firstLine="480" w:firstLineChars="200"/>
        <w:rPr>
          <w:rFonts w:hAnsi="宋体" w:cs="宋体"/>
          <w:bCs/>
        </w:rPr>
      </w:pPr>
      <w:r>
        <w:rPr>
          <w:rFonts w:hint="eastAsia" w:hAnsi="宋体" w:cs="宋体"/>
          <w:bCs/>
        </w:rPr>
        <w:t>5</w:t>
      </w:r>
      <w:r>
        <w:rPr>
          <w:rFonts w:hAnsi="宋体" w:cs="宋体"/>
          <w:bCs/>
        </w:rPr>
        <w:t>.3</w:t>
      </w:r>
      <w:r>
        <w:rPr>
          <w:rFonts w:hint="eastAsia" w:hAnsi="宋体" w:cs="宋体"/>
          <w:bCs/>
        </w:rPr>
        <w:t>最后报价是供应商响应文件的有效组成部分。磋商后提交的最后总报价与“首次报价表”和“分项报价明细表”涉及到的各分项报价合计与不一致时，以磋商后提交的最后总报价为准，同时按比例调整各分项报价直至各分项报价合计与磋商后提交的最后总报价一致。</w:t>
      </w:r>
    </w:p>
    <w:p w14:paraId="7A20C6E8">
      <w:pPr>
        <w:spacing w:line="360" w:lineRule="auto"/>
        <w:ind w:firstLine="480" w:firstLineChars="200"/>
        <w:rPr>
          <w:rFonts w:hAnsi="宋体" w:cs="宋体"/>
          <w:bCs/>
        </w:rPr>
      </w:pPr>
      <w:r>
        <w:rPr>
          <w:rFonts w:hint="eastAsia" w:hAnsi="宋体" w:cs="宋体"/>
          <w:bCs/>
        </w:rPr>
        <w:t>5.</w:t>
      </w:r>
      <w:r>
        <w:rPr>
          <w:rFonts w:hAnsi="宋体" w:cs="宋体"/>
          <w:bCs/>
        </w:rPr>
        <w:t>4</w:t>
      </w:r>
      <w:r>
        <w:rPr>
          <w:rFonts w:hint="eastAsia" w:hAnsi="宋体" w:cs="宋体"/>
          <w:bCs/>
        </w:rPr>
        <w:t>供应商最后报价表（包括但不限于价格、涂改或修改之处）须由法定代表人或其授权代表签字并摁手印或加盖公章，否则磋商小组有权认定其报价无效。最后报价是供应商人响应文件的有效组成部分。</w:t>
      </w:r>
    </w:p>
    <w:p w14:paraId="6FA41424">
      <w:pPr>
        <w:spacing w:line="360" w:lineRule="auto"/>
        <w:ind w:firstLine="480" w:firstLineChars="200"/>
        <w:rPr>
          <w:rFonts w:hAnsi="宋体" w:cs="宋体"/>
          <w:bCs/>
        </w:rPr>
      </w:pPr>
      <w:r>
        <w:rPr>
          <w:rFonts w:hint="eastAsia" w:hAnsi="宋体" w:cs="宋体"/>
          <w:bCs/>
        </w:rPr>
        <w:t>5.</w:t>
      </w:r>
      <w:r>
        <w:rPr>
          <w:rFonts w:hAnsi="宋体" w:cs="宋体"/>
          <w:bCs/>
        </w:rPr>
        <w:t>5</w:t>
      </w:r>
      <w:r>
        <w:rPr>
          <w:rFonts w:hint="eastAsia" w:hAnsi="宋体" w:cs="宋体"/>
          <w:bCs/>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7C1A640A">
      <w:pPr>
        <w:spacing w:line="360" w:lineRule="auto"/>
        <w:ind w:firstLine="482" w:firstLineChars="200"/>
        <w:rPr>
          <w:rFonts w:hAnsi="宋体" w:cs="宋体"/>
          <w:bCs/>
        </w:rPr>
      </w:pPr>
      <w:r>
        <w:rPr>
          <w:rFonts w:hAnsi="宋体" w:cs="宋体"/>
          <w:b/>
          <w:bCs/>
        </w:rPr>
        <w:t>6、</w:t>
      </w:r>
      <w:r>
        <w:rPr>
          <w:rFonts w:hint="eastAsia" w:hAnsi="宋体" w:cs="宋体"/>
          <w:b/>
          <w:bCs/>
        </w:rPr>
        <w:t>比较与评价。</w:t>
      </w:r>
      <w:r>
        <w:rPr>
          <w:rFonts w:hint="eastAsia" w:hAnsi="宋体" w:cs="宋体"/>
          <w:bCs/>
        </w:rPr>
        <w:t>由磋商小组采用综合评分法对提交最后报价的供应商的响应文件和最后报价进行综合评分，具体要求详见本章综合评分部分。</w:t>
      </w:r>
    </w:p>
    <w:p w14:paraId="3EEC1A50">
      <w:pPr>
        <w:spacing w:line="360" w:lineRule="auto"/>
        <w:ind w:firstLine="482" w:firstLineChars="200"/>
        <w:rPr>
          <w:rFonts w:hAnsi="宋体" w:cs="宋体"/>
          <w:bCs/>
        </w:rPr>
      </w:pPr>
      <w:r>
        <w:rPr>
          <w:rFonts w:hAnsi="宋体" w:cs="宋体"/>
          <w:b/>
          <w:bCs/>
        </w:rPr>
        <w:t>7、</w:t>
      </w:r>
      <w:r>
        <w:rPr>
          <w:rFonts w:hint="eastAsia" w:hAnsi="宋体" w:cs="宋体"/>
          <w:b/>
          <w:bCs/>
        </w:rPr>
        <w:t>推荐成交候选供应商。</w:t>
      </w:r>
      <w:r>
        <w:rPr>
          <w:rFonts w:hint="eastAsia" w:hAnsi="宋体" w:cs="宋体"/>
          <w:bCs/>
        </w:rPr>
        <w:t>磋商小组应当根据综合评分情况，按照评审得分由高到低顺序推荐1</w:t>
      </w:r>
      <w:r>
        <w:rPr>
          <w:rFonts w:hAnsi="宋体" w:cs="宋体"/>
          <w:bCs/>
        </w:rPr>
        <w:t>-3</w:t>
      </w:r>
      <w:r>
        <w:rPr>
          <w:rFonts w:hint="eastAsia" w:hAnsi="宋体" w:cs="宋体"/>
          <w:bCs/>
        </w:rPr>
        <w:t>家成交候选供应商，并编写磋商报告。评审得分相同的，按照最后报价由低到高的顺序推荐。评审得分且最后报价相同的，按照技术指标优劣顺序推荐。评审得分且最后报价且技术指标分项得分均相同的，采购人委托磋商小组按照随机抽签的方式确定并列供应商推荐顺序。</w:t>
      </w:r>
    </w:p>
    <w:p w14:paraId="2C3A3360">
      <w:pPr>
        <w:spacing w:line="360" w:lineRule="auto"/>
        <w:ind w:firstLine="482" w:firstLineChars="200"/>
        <w:rPr>
          <w:rFonts w:hAnsi="宋体" w:cs="宋体"/>
          <w:bCs/>
        </w:rPr>
      </w:pPr>
      <w:r>
        <w:rPr>
          <w:rFonts w:hAnsi="宋体" w:cs="宋体"/>
          <w:b/>
          <w:bCs/>
        </w:rPr>
        <w:t>8、</w:t>
      </w:r>
      <w:r>
        <w:rPr>
          <w:rFonts w:hint="eastAsia" w:hAnsi="宋体" w:cs="宋体"/>
          <w:b/>
          <w:bCs/>
        </w:rPr>
        <w:t>磋商小组复核。</w:t>
      </w:r>
      <w:r>
        <w:rPr>
          <w:rFonts w:hint="eastAsia" w:hAnsi="宋体" w:cs="宋体"/>
          <w:bCs/>
        </w:rPr>
        <w:t>磋商小组评分汇总结束后，磋商小组应当进行评审复核，对拟推荐为成交候选供应商的、报价最低的、供应商资格审查未通过的、供应商响应文件作无效处理的重点复核。</w:t>
      </w:r>
    </w:p>
    <w:p w14:paraId="1F603112">
      <w:pPr>
        <w:spacing w:line="360" w:lineRule="auto"/>
        <w:ind w:firstLine="482" w:firstLineChars="200"/>
        <w:rPr>
          <w:rFonts w:hAnsi="宋体" w:cs="宋体"/>
          <w:b/>
          <w:bCs/>
        </w:rPr>
      </w:pPr>
      <w:r>
        <w:rPr>
          <w:rFonts w:hAnsi="宋体" w:cs="宋体"/>
          <w:b/>
          <w:bCs/>
        </w:rPr>
        <w:t>9、</w:t>
      </w:r>
      <w:r>
        <w:rPr>
          <w:rFonts w:hint="eastAsia" w:hAnsi="宋体" w:cs="宋体"/>
          <w:b/>
          <w:bCs/>
        </w:rPr>
        <w:t>采购组织单位现场复核评审结果。</w:t>
      </w:r>
    </w:p>
    <w:p w14:paraId="7EA9672B">
      <w:pPr>
        <w:spacing w:line="360" w:lineRule="auto"/>
        <w:ind w:firstLine="480" w:firstLineChars="200"/>
        <w:rPr>
          <w:rFonts w:hAnsi="宋体" w:cs="宋体"/>
          <w:bCs/>
        </w:rPr>
      </w:pPr>
      <w:r>
        <w:rPr>
          <w:rFonts w:hint="eastAsia" w:hAnsi="宋体" w:cs="宋体"/>
          <w:bCs/>
        </w:rPr>
        <w:t>9.1评审结果汇总完成后，磋商小组拟出具磋商评审报告前，采购代理机构应当组织2名以上的本单位工作人员，依据有关的法律制度和磋商文件对评审结果进行复核，出具复核报告，存在下列情形之一的，采购代理机构应当根据情况书面建议磋商小组现场修改评审结果：</w:t>
      </w:r>
    </w:p>
    <w:p w14:paraId="4516DA84">
      <w:pPr>
        <w:spacing w:line="360" w:lineRule="auto"/>
        <w:ind w:firstLine="480" w:firstLineChars="200"/>
        <w:rPr>
          <w:rFonts w:hAnsi="宋体" w:cs="宋体"/>
          <w:bCs/>
        </w:rPr>
      </w:pPr>
      <w:r>
        <w:rPr>
          <w:rFonts w:hint="eastAsia" w:hAnsi="宋体" w:cs="宋体"/>
          <w:bCs/>
        </w:rPr>
        <w:t>（1）资格性审查认定错误的；</w:t>
      </w:r>
    </w:p>
    <w:p w14:paraId="2499C661">
      <w:pPr>
        <w:spacing w:line="360" w:lineRule="auto"/>
        <w:ind w:firstLine="480" w:firstLineChars="200"/>
        <w:rPr>
          <w:rFonts w:hAnsi="宋体" w:cs="宋体"/>
          <w:bCs/>
        </w:rPr>
      </w:pPr>
      <w:r>
        <w:rPr>
          <w:rFonts w:hint="eastAsia" w:hAnsi="宋体" w:cs="宋体"/>
          <w:bCs/>
        </w:rPr>
        <w:t>（2）分值汇总计算错误的；</w:t>
      </w:r>
    </w:p>
    <w:p w14:paraId="5562B983">
      <w:pPr>
        <w:spacing w:line="360" w:lineRule="auto"/>
        <w:ind w:firstLine="480" w:firstLineChars="200"/>
        <w:rPr>
          <w:rFonts w:hAnsi="宋体" w:cs="宋体"/>
          <w:bCs/>
        </w:rPr>
      </w:pPr>
      <w:r>
        <w:rPr>
          <w:rFonts w:hint="eastAsia" w:hAnsi="宋体" w:cs="宋体"/>
          <w:bCs/>
        </w:rPr>
        <w:t>（3）分项评分超出评分标准范围的；</w:t>
      </w:r>
    </w:p>
    <w:p w14:paraId="7821B69D">
      <w:pPr>
        <w:spacing w:line="360" w:lineRule="auto"/>
        <w:ind w:firstLine="480" w:firstLineChars="200"/>
        <w:rPr>
          <w:rFonts w:hAnsi="宋体" w:cs="宋体"/>
          <w:bCs/>
        </w:rPr>
      </w:pPr>
      <w:r>
        <w:rPr>
          <w:rFonts w:hint="eastAsia" w:hAnsi="宋体" w:cs="宋体"/>
          <w:bCs/>
        </w:rPr>
        <w:t>（4）客观评分不一致的。</w:t>
      </w:r>
    </w:p>
    <w:p w14:paraId="66C2E7C0">
      <w:pPr>
        <w:spacing w:line="360" w:lineRule="auto"/>
        <w:ind w:firstLine="480" w:firstLineChars="200"/>
        <w:rPr>
          <w:rFonts w:hAnsi="宋体" w:cs="宋体"/>
          <w:bCs/>
        </w:rPr>
      </w:pPr>
      <w:r>
        <w:rPr>
          <w:rFonts w:hint="eastAsia" w:hAnsi="宋体" w:cs="宋体"/>
          <w:bCs/>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w:t>
      </w:r>
    </w:p>
    <w:p w14:paraId="5786697D">
      <w:pPr>
        <w:spacing w:line="360" w:lineRule="auto"/>
        <w:ind w:firstLine="480" w:firstLineChars="200"/>
        <w:rPr>
          <w:rFonts w:hAnsi="宋体" w:cs="宋体"/>
          <w:bCs/>
        </w:rPr>
      </w:pPr>
      <w:r>
        <w:rPr>
          <w:rFonts w:hint="eastAsia" w:hAnsi="宋体" w:cs="宋体"/>
          <w:bCs/>
        </w:rPr>
        <w:t>采购代理机构复核过程中，磋商小组成员不得离开评审现场。</w:t>
      </w:r>
    </w:p>
    <w:p w14:paraId="58D322DC">
      <w:pPr>
        <w:spacing w:line="360" w:lineRule="auto"/>
        <w:ind w:firstLine="480" w:firstLineChars="200"/>
        <w:rPr>
          <w:rFonts w:hAnsi="宋体" w:cs="宋体"/>
          <w:bCs/>
        </w:rPr>
      </w:pPr>
      <w:r>
        <w:rPr>
          <w:rFonts w:hint="eastAsia" w:hAnsi="宋体" w:cs="宋体"/>
          <w:bCs/>
        </w:rPr>
        <w:t>9.2有下列情形之一的，不得现场修改评审结果：</w:t>
      </w:r>
    </w:p>
    <w:p w14:paraId="0064D0A9">
      <w:pPr>
        <w:spacing w:line="360" w:lineRule="auto"/>
        <w:ind w:firstLine="480" w:firstLineChars="200"/>
        <w:rPr>
          <w:rFonts w:hAnsi="宋体" w:cs="宋体"/>
          <w:bCs/>
        </w:rPr>
      </w:pPr>
      <w:r>
        <w:rPr>
          <w:rFonts w:hint="eastAsia" w:hAnsi="宋体" w:cs="宋体"/>
          <w:bCs/>
        </w:rPr>
        <w:t>（1）磋商小组已经出具磋商报告并且离开评审现场的；</w:t>
      </w:r>
    </w:p>
    <w:p w14:paraId="1C7EAFC1">
      <w:pPr>
        <w:spacing w:line="360" w:lineRule="auto"/>
        <w:ind w:firstLine="480" w:firstLineChars="200"/>
        <w:rPr>
          <w:rFonts w:hAnsi="宋体" w:cs="宋体"/>
          <w:bCs/>
        </w:rPr>
      </w:pPr>
      <w:r>
        <w:rPr>
          <w:rFonts w:hint="eastAsia" w:hAnsi="宋体" w:cs="宋体"/>
          <w:bCs/>
        </w:rPr>
        <w:t>（2）采购代理机构现场复核时，复核工作人员数量不足的；</w:t>
      </w:r>
    </w:p>
    <w:p w14:paraId="3A1D14CB">
      <w:pPr>
        <w:spacing w:line="360" w:lineRule="auto"/>
        <w:ind w:firstLine="480" w:firstLineChars="200"/>
        <w:rPr>
          <w:rFonts w:hAnsi="宋体" w:cs="宋体"/>
          <w:bCs/>
        </w:rPr>
      </w:pPr>
      <w:r>
        <w:rPr>
          <w:rFonts w:hint="eastAsia" w:hAnsi="宋体" w:cs="宋体"/>
          <w:bCs/>
        </w:rPr>
        <w:t>（3）采购代理机构现场复核时，没有采购监督人员现场监督的；</w:t>
      </w:r>
    </w:p>
    <w:p w14:paraId="6ECA688C">
      <w:pPr>
        <w:spacing w:line="360" w:lineRule="auto"/>
        <w:ind w:firstLine="480" w:firstLineChars="200"/>
        <w:rPr>
          <w:rFonts w:hAnsi="宋体" w:cs="宋体"/>
          <w:bCs/>
        </w:rPr>
      </w:pPr>
      <w:r>
        <w:rPr>
          <w:rFonts w:hint="eastAsia" w:hAnsi="宋体" w:cs="宋体"/>
          <w:bCs/>
        </w:rPr>
        <w:t>（4）采购代理机构现场复核内容超出规定范围的；</w:t>
      </w:r>
    </w:p>
    <w:p w14:paraId="29DB2A1F">
      <w:pPr>
        <w:spacing w:line="360" w:lineRule="auto"/>
        <w:ind w:firstLine="480" w:firstLineChars="200"/>
        <w:rPr>
          <w:rFonts w:hAnsi="宋体" w:cs="宋体"/>
          <w:bCs/>
        </w:rPr>
      </w:pPr>
      <w:r>
        <w:rPr>
          <w:rFonts w:hint="eastAsia" w:hAnsi="宋体" w:cs="宋体"/>
          <w:bCs/>
        </w:rPr>
        <w:t>（5）采购代理机构未提供书面建议的。</w:t>
      </w:r>
    </w:p>
    <w:p w14:paraId="38915A0E">
      <w:pPr>
        <w:spacing w:line="360" w:lineRule="auto"/>
        <w:ind w:firstLine="482" w:firstLineChars="200"/>
        <w:rPr>
          <w:rFonts w:hAnsi="宋体" w:cs="宋体"/>
          <w:bCs/>
        </w:rPr>
      </w:pPr>
      <w:r>
        <w:rPr>
          <w:rFonts w:hAnsi="宋体" w:cs="宋体"/>
          <w:b/>
          <w:bCs/>
        </w:rPr>
        <w:t>10、</w:t>
      </w:r>
      <w:r>
        <w:rPr>
          <w:rFonts w:hint="eastAsia" w:hAnsi="宋体" w:cs="宋体"/>
          <w:b/>
          <w:bCs/>
        </w:rPr>
        <w:t>编写磋商报告。</w:t>
      </w:r>
      <w:r>
        <w:rPr>
          <w:rFonts w:hint="eastAsia" w:hAnsi="宋体" w:cs="宋体"/>
          <w:bCs/>
        </w:rPr>
        <w:t>磋商小组推荐成交候选供应商后，应向采购代理机构出具磋商报告。磋商报告应当包括以下主要内容：</w:t>
      </w:r>
    </w:p>
    <w:p w14:paraId="7B6E7BE8">
      <w:pPr>
        <w:spacing w:line="360" w:lineRule="auto"/>
        <w:ind w:firstLine="480" w:firstLineChars="200"/>
        <w:rPr>
          <w:rFonts w:hAnsi="宋体" w:cs="宋体"/>
          <w:bCs/>
        </w:rPr>
      </w:pPr>
      <w:r>
        <w:rPr>
          <w:rFonts w:hint="eastAsia" w:hAnsi="宋体" w:cs="宋体"/>
          <w:bCs/>
        </w:rPr>
        <w:t>（1）邀请供应商参加采购活动的具体方式和相关情况；</w:t>
      </w:r>
    </w:p>
    <w:p w14:paraId="17B02154">
      <w:pPr>
        <w:spacing w:line="360" w:lineRule="auto"/>
        <w:ind w:firstLine="480" w:firstLineChars="200"/>
        <w:rPr>
          <w:rFonts w:hAnsi="宋体" w:cs="宋体"/>
          <w:bCs/>
        </w:rPr>
      </w:pPr>
      <w:r>
        <w:rPr>
          <w:rFonts w:hint="eastAsia" w:hAnsi="宋体" w:cs="宋体"/>
          <w:bCs/>
        </w:rPr>
        <w:t>（2）响应文件开启日期和地点；</w:t>
      </w:r>
    </w:p>
    <w:p w14:paraId="50B76F09">
      <w:pPr>
        <w:spacing w:line="360" w:lineRule="auto"/>
        <w:ind w:firstLine="480" w:firstLineChars="200"/>
        <w:rPr>
          <w:rFonts w:hAnsi="宋体" w:cs="宋体"/>
          <w:bCs/>
        </w:rPr>
      </w:pPr>
      <w:r>
        <w:rPr>
          <w:rFonts w:hint="eastAsia" w:hAnsi="宋体" w:cs="宋体"/>
          <w:bCs/>
        </w:rPr>
        <w:t>（3）获取磋商文件的供应商名单和磋商小组成员名单；</w:t>
      </w:r>
    </w:p>
    <w:p w14:paraId="3A74BB06">
      <w:pPr>
        <w:spacing w:line="360" w:lineRule="auto"/>
        <w:ind w:firstLine="480" w:firstLineChars="200"/>
        <w:rPr>
          <w:rFonts w:hAnsi="宋体" w:cs="宋体"/>
          <w:bCs/>
        </w:rPr>
      </w:pPr>
      <w:r>
        <w:rPr>
          <w:rFonts w:hint="eastAsia" w:hAnsi="宋体" w:cs="宋体"/>
          <w:bCs/>
        </w:rPr>
        <w:t>（4）评审情况记录和说明，包括对供应商的资格审查情况、供应商响应文件审查情况、磋商情况、报价情况等；</w:t>
      </w:r>
    </w:p>
    <w:p w14:paraId="247D480B">
      <w:pPr>
        <w:spacing w:line="360" w:lineRule="auto"/>
        <w:ind w:firstLine="480" w:firstLineChars="200"/>
        <w:rPr>
          <w:rFonts w:hAnsi="宋体" w:cs="宋体"/>
          <w:bCs/>
        </w:rPr>
      </w:pPr>
      <w:r>
        <w:rPr>
          <w:rFonts w:hint="eastAsia" w:hAnsi="宋体" w:cs="宋体"/>
          <w:bCs/>
        </w:rPr>
        <w:t>（5）提出的成交候选供应商的排序名单及理由。</w:t>
      </w:r>
    </w:p>
    <w:p w14:paraId="70A98CE7">
      <w:pPr>
        <w:spacing w:line="360" w:lineRule="auto"/>
        <w:ind w:firstLine="480" w:firstLineChars="200"/>
        <w:rPr>
          <w:rFonts w:hAnsi="宋体" w:cs="宋体"/>
          <w:bCs/>
        </w:rPr>
      </w:pPr>
      <w:r>
        <w:rPr>
          <w:rFonts w:hint="eastAsia" w:hAnsi="宋体" w:cs="宋体"/>
          <w:bCs/>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42EDD19B">
      <w:pPr>
        <w:spacing w:line="360" w:lineRule="auto"/>
        <w:ind w:firstLine="482" w:firstLineChars="200"/>
        <w:rPr>
          <w:rFonts w:hAnsi="宋体" w:cs="宋体"/>
          <w:bCs/>
        </w:rPr>
      </w:pPr>
      <w:r>
        <w:rPr>
          <w:rFonts w:hAnsi="宋体" w:cs="宋体"/>
          <w:b/>
          <w:bCs/>
        </w:rPr>
        <w:t>11、</w:t>
      </w:r>
      <w:r>
        <w:rPr>
          <w:rFonts w:hint="eastAsia" w:hAnsi="宋体" w:cs="宋体"/>
          <w:b/>
          <w:bCs/>
        </w:rPr>
        <w:t>磋商异议处理规则。</w:t>
      </w:r>
      <w:r>
        <w:rPr>
          <w:rFonts w:hint="eastAsia" w:hAnsi="宋体" w:cs="宋体"/>
          <w:bCs/>
        </w:rPr>
        <w:t>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53449E08">
      <w:pPr>
        <w:spacing w:line="360" w:lineRule="auto"/>
        <w:ind w:firstLine="482" w:firstLineChars="200"/>
        <w:rPr>
          <w:rFonts w:hAnsi="宋体" w:cs="宋体"/>
          <w:b/>
          <w:bCs/>
        </w:rPr>
      </w:pPr>
      <w:r>
        <w:rPr>
          <w:rFonts w:hAnsi="宋体" w:cs="宋体"/>
          <w:b/>
          <w:bCs/>
        </w:rPr>
        <w:t>12、</w:t>
      </w:r>
      <w:r>
        <w:rPr>
          <w:rFonts w:hint="eastAsia" w:hAnsi="宋体" w:cs="宋体"/>
          <w:b/>
          <w:bCs/>
        </w:rPr>
        <w:t>供应商澄清、说明</w:t>
      </w:r>
    </w:p>
    <w:p w14:paraId="00AFAC13">
      <w:pPr>
        <w:spacing w:line="360" w:lineRule="auto"/>
        <w:ind w:firstLine="480" w:firstLineChars="200"/>
        <w:rPr>
          <w:rFonts w:hAnsi="宋体" w:cs="宋体"/>
          <w:bCs/>
        </w:rPr>
      </w:pPr>
      <w:r>
        <w:rPr>
          <w:rFonts w:hint="eastAsia" w:hAnsi="宋体" w:cs="宋体"/>
          <w:bCs/>
        </w:rPr>
        <w:t>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097F8BF">
      <w:pPr>
        <w:spacing w:line="360" w:lineRule="auto"/>
        <w:ind w:firstLine="480" w:firstLineChars="200"/>
        <w:rPr>
          <w:rFonts w:hAnsi="宋体" w:cs="宋体"/>
          <w:bCs/>
        </w:rPr>
      </w:pPr>
      <w:r>
        <w:rPr>
          <w:rFonts w:hint="eastAsia" w:hAnsi="宋体" w:cs="宋体"/>
          <w:bCs/>
        </w:rPr>
        <w:t>12.2磋商小组要求供应商澄清、说明或者更正响应文件应当以书面形式作出。供应商的澄清、说明或者更正应当由法定代表人/主要负责人/本人或其授权代表签字或者加盖公章。</w:t>
      </w:r>
    </w:p>
    <w:p w14:paraId="50F214BA">
      <w:pPr>
        <w:spacing w:line="360" w:lineRule="auto"/>
        <w:ind w:firstLine="482" w:firstLineChars="200"/>
        <w:rPr>
          <w:rFonts w:hAnsi="宋体" w:cs="宋体"/>
          <w:b/>
          <w:bCs/>
        </w:rPr>
      </w:pPr>
      <w:r>
        <w:rPr>
          <w:rFonts w:hAnsi="宋体" w:cs="宋体"/>
          <w:b/>
          <w:bCs/>
        </w:rPr>
        <w:t>13、</w:t>
      </w:r>
      <w:r>
        <w:rPr>
          <w:rFonts w:hint="eastAsia" w:hAnsi="宋体" w:cs="宋体"/>
          <w:b/>
          <w:bCs/>
        </w:rPr>
        <w:t>终止磋商采购活动。</w:t>
      </w:r>
    </w:p>
    <w:p w14:paraId="3A3EDBCA">
      <w:pPr>
        <w:spacing w:line="360" w:lineRule="auto"/>
        <w:ind w:firstLine="480" w:firstLineChars="200"/>
        <w:rPr>
          <w:rFonts w:hAnsi="宋体" w:cs="宋体"/>
          <w:bCs/>
        </w:rPr>
      </w:pPr>
      <w:r>
        <w:rPr>
          <w:rFonts w:hint="eastAsia" w:hAnsi="宋体" w:cs="宋体"/>
          <w:bCs/>
        </w:rPr>
        <w:t>出现下列情形之一的，采购单位或者采购代理机构应当终止竞争性磋商采购活动，发布项目终止公告并说明原因，重新开展采购活动：</w:t>
      </w:r>
    </w:p>
    <w:p w14:paraId="434A9AB1">
      <w:pPr>
        <w:spacing w:line="360" w:lineRule="auto"/>
        <w:ind w:firstLine="480" w:firstLineChars="200"/>
        <w:rPr>
          <w:rFonts w:hAnsi="宋体" w:cs="宋体"/>
          <w:bCs/>
        </w:rPr>
      </w:pPr>
      <w:r>
        <w:rPr>
          <w:rFonts w:hint="eastAsia" w:hAnsi="宋体" w:cs="宋体"/>
          <w:bCs/>
        </w:rPr>
        <w:t>（1）参加报名的供应商不足3家的；</w:t>
      </w:r>
    </w:p>
    <w:p w14:paraId="1941AB6B">
      <w:pPr>
        <w:spacing w:line="360" w:lineRule="auto"/>
        <w:ind w:firstLine="480" w:firstLineChars="200"/>
        <w:rPr>
          <w:rFonts w:hAnsi="宋体" w:cs="宋体"/>
          <w:bCs/>
        </w:rPr>
      </w:pPr>
      <w:r>
        <w:rPr>
          <w:rFonts w:hint="eastAsia" w:hAnsi="宋体" w:cs="宋体"/>
          <w:bCs/>
        </w:rPr>
        <w:t>（2）递交响应文件的供应商不足3家的；</w:t>
      </w:r>
    </w:p>
    <w:p w14:paraId="20484CC5">
      <w:pPr>
        <w:spacing w:line="360" w:lineRule="auto"/>
        <w:ind w:firstLine="480" w:firstLineChars="200"/>
        <w:rPr>
          <w:rFonts w:hAnsi="宋体" w:cs="宋体"/>
          <w:bCs/>
        </w:rPr>
      </w:pPr>
      <w:r>
        <w:rPr>
          <w:rFonts w:hint="eastAsia" w:hAnsi="宋体" w:cs="宋体"/>
          <w:bCs/>
        </w:rPr>
        <w:t>（3）通过资格审查的供应商不足3家的；</w:t>
      </w:r>
    </w:p>
    <w:p w14:paraId="20E00AB3">
      <w:pPr>
        <w:spacing w:line="360" w:lineRule="auto"/>
        <w:ind w:firstLine="480" w:firstLineChars="200"/>
        <w:rPr>
          <w:rFonts w:hAnsi="宋体" w:cs="宋体"/>
          <w:bCs/>
        </w:rPr>
      </w:pPr>
      <w:r>
        <w:rPr>
          <w:rFonts w:hint="eastAsia" w:hAnsi="宋体" w:cs="宋体"/>
          <w:bCs/>
        </w:rPr>
        <w:t>（4）在磋商过程中符合要求的供应商或者提交最后报价的供应商不足3家的；</w:t>
      </w:r>
    </w:p>
    <w:p w14:paraId="3038D58F">
      <w:pPr>
        <w:spacing w:line="360" w:lineRule="auto"/>
        <w:ind w:firstLine="480" w:firstLineChars="200"/>
        <w:rPr>
          <w:rFonts w:hAnsi="宋体" w:cs="宋体"/>
          <w:bCs/>
        </w:rPr>
      </w:pPr>
      <w:r>
        <w:rPr>
          <w:rFonts w:hint="eastAsia" w:hAnsi="宋体" w:cs="宋体"/>
          <w:bCs/>
        </w:rPr>
        <w:t>（5）出现影响招标公正的违法、违规行为的；</w:t>
      </w:r>
    </w:p>
    <w:p w14:paraId="044CF0BE">
      <w:pPr>
        <w:spacing w:line="360" w:lineRule="auto"/>
        <w:ind w:firstLine="480" w:firstLineChars="200"/>
        <w:rPr>
          <w:rFonts w:hAnsi="宋体" w:cs="宋体"/>
          <w:bCs/>
        </w:rPr>
      </w:pPr>
      <w:r>
        <w:rPr>
          <w:rFonts w:hint="eastAsia" w:hAnsi="宋体" w:cs="宋体"/>
          <w:bCs/>
        </w:rPr>
        <w:t>（6）因情况变化，不再符合规定的竞争性磋商采购方式适用情形的；</w:t>
      </w:r>
    </w:p>
    <w:p w14:paraId="6D86FE49">
      <w:pPr>
        <w:spacing w:line="360" w:lineRule="auto"/>
        <w:ind w:firstLine="480" w:firstLineChars="200"/>
        <w:rPr>
          <w:rFonts w:hAnsi="宋体" w:cs="宋体"/>
          <w:bCs/>
        </w:rPr>
      </w:pPr>
      <w:r>
        <w:rPr>
          <w:rFonts w:hint="eastAsia" w:hAnsi="宋体" w:cs="宋体"/>
          <w:bCs/>
        </w:rPr>
        <w:t>（7）在采购活动中因重大变故，采购任务取消的。</w:t>
      </w:r>
    </w:p>
    <w:p w14:paraId="4B3397AC">
      <w:pPr>
        <w:spacing w:line="360" w:lineRule="auto"/>
        <w:ind w:firstLine="480" w:firstLineChars="200"/>
        <w:rPr>
          <w:rFonts w:hAnsi="宋体" w:cs="宋体"/>
          <w:bCs/>
        </w:rPr>
      </w:pPr>
      <w:r>
        <w:rPr>
          <w:rFonts w:hint="eastAsia" w:hAnsi="宋体" w:cs="宋体"/>
          <w:bCs/>
        </w:rPr>
        <w:t>对于评审过程中采购活动终止的采购项目，磋商小组应当对磋商文件是否存在倾向性和歧视性、是否存在不合理条款进行论证，并出具书面论证意见。</w:t>
      </w:r>
    </w:p>
    <w:p w14:paraId="28824E37">
      <w:pPr>
        <w:pStyle w:val="3"/>
        <w:spacing w:line="360" w:lineRule="auto"/>
        <w:jc w:val="left"/>
        <w:rPr>
          <w:rFonts w:ascii="宋体" w:hAnsi="宋体" w:eastAsia="宋体" w:cs="宋体"/>
          <w:sz w:val="24"/>
          <w:szCs w:val="24"/>
        </w:rPr>
      </w:pPr>
      <w:bookmarkStart w:id="567" w:name="_Toc6549"/>
      <w:bookmarkStart w:id="568" w:name="_Toc25426"/>
      <w:bookmarkStart w:id="569" w:name="_Toc14730"/>
      <w:bookmarkStart w:id="570" w:name="_Toc170477140"/>
      <w:bookmarkStart w:id="571" w:name="_Toc31778_WPSOffice_Level2"/>
      <w:r>
        <w:rPr>
          <w:rFonts w:hint="eastAsia" w:ascii="宋体" w:hAnsi="宋体" w:eastAsia="宋体" w:cs="宋体"/>
          <w:sz w:val="24"/>
          <w:szCs w:val="24"/>
        </w:rPr>
        <w:t>四、综合评分</w:t>
      </w:r>
      <w:bookmarkEnd w:id="567"/>
      <w:bookmarkEnd w:id="568"/>
      <w:bookmarkEnd w:id="569"/>
      <w:bookmarkEnd w:id="570"/>
      <w:bookmarkEnd w:id="571"/>
    </w:p>
    <w:p w14:paraId="776306D1">
      <w:pPr>
        <w:spacing w:line="360" w:lineRule="auto"/>
        <w:ind w:firstLine="480" w:firstLineChars="200"/>
        <w:rPr>
          <w:rFonts w:hAnsi="宋体" w:cs="宋体"/>
          <w:bCs/>
        </w:rPr>
      </w:pPr>
      <w:r>
        <w:rPr>
          <w:rFonts w:hAnsi="宋体" w:cs="宋体"/>
          <w:bCs/>
        </w:rPr>
        <w:t>1、</w:t>
      </w:r>
      <w:r>
        <w:rPr>
          <w:rFonts w:hint="eastAsia" w:hAnsi="宋体" w:cs="宋体"/>
          <w:bCs/>
        </w:rPr>
        <w:t>本次综合评分的因素详见综合评分明细表。</w:t>
      </w:r>
    </w:p>
    <w:p w14:paraId="0BE451A7">
      <w:pPr>
        <w:spacing w:line="360" w:lineRule="auto"/>
        <w:ind w:firstLine="480" w:firstLineChars="200"/>
        <w:rPr>
          <w:rFonts w:hAnsi="宋体" w:cs="宋体"/>
          <w:bCs/>
        </w:rPr>
      </w:pPr>
      <w:r>
        <w:rPr>
          <w:rFonts w:hAnsi="宋体" w:cs="宋体"/>
          <w:bCs/>
        </w:rPr>
        <w:t>2、</w:t>
      </w:r>
      <w:r>
        <w:rPr>
          <w:rFonts w:hint="eastAsia" w:hAnsi="宋体" w:cs="宋体"/>
          <w:bCs/>
        </w:rPr>
        <w:t>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单位代表原则上对技术、与技术有关的服务及其他技术类评分因素独立评分。价格及其他不能明确区分的评分因素由磋商小组成员共同评分。</w:t>
      </w:r>
    </w:p>
    <w:p w14:paraId="780A7157">
      <w:pPr>
        <w:spacing w:line="360" w:lineRule="auto"/>
        <w:ind w:firstLine="480" w:firstLineChars="200"/>
        <w:rPr>
          <w:rFonts w:hAnsi="宋体" w:cs="宋体"/>
          <w:bCs/>
        </w:rPr>
      </w:pPr>
      <w:r>
        <w:rPr>
          <w:rFonts w:hAnsi="宋体" w:cs="宋体"/>
          <w:bCs/>
        </w:rPr>
        <w:t>3、</w:t>
      </w:r>
      <w:r>
        <w:rPr>
          <w:rFonts w:hint="eastAsia" w:hAnsi="宋体" w:cs="宋体"/>
          <w:bCs/>
        </w:rPr>
        <w:t>综合评分明细表</w:t>
      </w:r>
    </w:p>
    <w:p w14:paraId="348913AF">
      <w:pPr>
        <w:spacing w:line="360" w:lineRule="auto"/>
        <w:ind w:firstLine="480" w:firstLineChars="200"/>
        <w:rPr>
          <w:rFonts w:hAnsi="宋体" w:cs="宋体"/>
          <w:bCs/>
        </w:rPr>
      </w:pPr>
      <w:r>
        <w:rPr>
          <w:rFonts w:hint="eastAsia" w:hAnsi="宋体" w:cs="宋体"/>
          <w:bCs/>
        </w:rPr>
        <w:t>3.1综合评分明细表的制定以科学合理、降低评委会自由裁量权为原则。</w:t>
      </w:r>
    </w:p>
    <w:p w14:paraId="679C3322">
      <w:pPr>
        <w:spacing w:line="360" w:lineRule="auto"/>
        <w:ind w:firstLine="480" w:firstLineChars="200"/>
        <w:rPr>
          <w:rFonts w:hAnsi="宋体" w:cs="宋体"/>
          <w:bCs/>
        </w:rPr>
      </w:pPr>
      <w:r>
        <w:rPr>
          <w:rFonts w:hint="eastAsia" w:hAnsi="宋体" w:cs="宋体"/>
          <w:bCs/>
        </w:rPr>
        <w:t>3.2综合评分明细表注：评分的取值按四舍五入法，保留小数点后两位。</w:t>
      </w:r>
      <w:bookmarkStart w:id="572" w:name="_Toc20618_WPSOffice_Level2"/>
      <w:bookmarkStart w:id="573" w:name="_Toc20030"/>
    </w:p>
    <w:tbl>
      <w:tblPr>
        <w:tblStyle w:val="24"/>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0" w:type="dxa"/>
          <w:left w:w="150" w:type="dxa"/>
          <w:bottom w:w="150" w:type="dxa"/>
          <w:right w:w="150" w:type="dxa"/>
        </w:tblCellMar>
      </w:tblPr>
      <w:tblGrid>
        <w:gridCol w:w="1716"/>
        <w:gridCol w:w="5087"/>
        <w:gridCol w:w="1100"/>
        <w:gridCol w:w="1487"/>
      </w:tblGrid>
      <w:tr w14:paraId="2DCE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38" w:hRule="atLeast"/>
          <w:tblCellSpacing w:w="0" w:type="dxa"/>
        </w:trPr>
        <w:tc>
          <w:tcPr>
            <w:tcW w:w="1716" w:type="dxa"/>
            <w:tcBorders>
              <w:top w:val="single" w:color="auto" w:sz="4" w:space="0"/>
              <w:left w:val="single" w:color="auto" w:sz="4" w:space="0"/>
              <w:bottom w:val="single" w:color="auto" w:sz="4" w:space="0"/>
              <w:right w:val="single" w:color="auto" w:sz="4" w:space="0"/>
            </w:tcBorders>
            <w:vAlign w:val="center"/>
          </w:tcPr>
          <w:p w14:paraId="34223874">
            <w:pPr>
              <w:spacing w:line="360" w:lineRule="auto"/>
              <w:rPr>
                <w:rFonts w:ascii="仿宋" w:hAnsi="仿宋" w:eastAsia="仿宋" w:cs="仿宋"/>
                <w:szCs w:val="24"/>
              </w:rPr>
            </w:pPr>
            <w:r>
              <w:rPr>
                <w:rFonts w:hint="eastAsia" w:ascii="仿宋" w:hAnsi="仿宋" w:eastAsia="仿宋" w:cs="仿宋"/>
                <w:szCs w:val="24"/>
              </w:rPr>
              <w:t>评分项目</w:t>
            </w:r>
          </w:p>
        </w:tc>
        <w:tc>
          <w:tcPr>
            <w:tcW w:w="5087" w:type="dxa"/>
            <w:tcBorders>
              <w:top w:val="single" w:color="auto" w:sz="4" w:space="0"/>
              <w:left w:val="single" w:color="auto" w:sz="4" w:space="0"/>
              <w:bottom w:val="single" w:color="auto" w:sz="4" w:space="0"/>
              <w:right w:val="single" w:color="auto" w:sz="4" w:space="0"/>
            </w:tcBorders>
            <w:vAlign w:val="center"/>
          </w:tcPr>
          <w:p w14:paraId="04B91FD1">
            <w:pPr>
              <w:spacing w:line="360" w:lineRule="auto"/>
              <w:ind w:firstLine="480" w:firstLineChars="200"/>
              <w:rPr>
                <w:rFonts w:ascii="仿宋" w:hAnsi="仿宋" w:eastAsia="仿宋" w:cs="仿宋"/>
                <w:szCs w:val="24"/>
              </w:rPr>
            </w:pPr>
            <w:r>
              <w:rPr>
                <w:rFonts w:hint="eastAsia" w:ascii="仿宋" w:hAnsi="仿宋" w:eastAsia="仿宋" w:cs="仿宋"/>
                <w:szCs w:val="24"/>
              </w:rPr>
              <w:t>评分标准</w:t>
            </w:r>
          </w:p>
        </w:tc>
        <w:tc>
          <w:tcPr>
            <w:tcW w:w="1100" w:type="dxa"/>
            <w:tcBorders>
              <w:top w:val="single" w:color="auto" w:sz="4" w:space="0"/>
              <w:left w:val="single" w:color="auto" w:sz="4" w:space="0"/>
              <w:bottom w:val="single" w:color="auto" w:sz="4" w:space="0"/>
              <w:right w:val="single" w:color="auto" w:sz="4" w:space="0"/>
            </w:tcBorders>
            <w:vAlign w:val="center"/>
          </w:tcPr>
          <w:p w14:paraId="6228465A">
            <w:pPr>
              <w:spacing w:line="360" w:lineRule="auto"/>
              <w:rPr>
                <w:rFonts w:ascii="仿宋" w:hAnsi="仿宋" w:eastAsia="仿宋" w:cs="仿宋"/>
                <w:szCs w:val="24"/>
              </w:rPr>
            </w:pPr>
            <w:r>
              <w:rPr>
                <w:rFonts w:hint="eastAsia" w:ascii="仿宋" w:hAnsi="仿宋" w:eastAsia="仿宋" w:cs="仿宋"/>
                <w:szCs w:val="24"/>
              </w:rPr>
              <w:t>评分说明</w:t>
            </w:r>
          </w:p>
        </w:tc>
        <w:tc>
          <w:tcPr>
            <w:tcW w:w="1487" w:type="dxa"/>
            <w:tcBorders>
              <w:top w:val="single" w:color="auto" w:sz="4" w:space="0"/>
              <w:left w:val="single" w:color="auto" w:sz="4" w:space="0"/>
              <w:bottom w:val="single" w:color="auto" w:sz="4" w:space="0"/>
              <w:right w:val="single" w:color="auto" w:sz="4" w:space="0"/>
            </w:tcBorders>
            <w:vAlign w:val="center"/>
          </w:tcPr>
          <w:p w14:paraId="6F7F55D6">
            <w:pPr>
              <w:spacing w:line="360" w:lineRule="auto"/>
              <w:rPr>
                <w:rFonts w:ascii="仿宋" w:hAnsi="仿宋" w:eastAsia="仿宋" w:cs="仿宋"/>
                <w:szCs w:val="24"/>
              </w:rPr>
            </w:pPr>
            <w:r>
              <w:rPr>
                <w:rFonts w:hint="eastAsia" w:ascii="仿宋" w:hAnsi="仿宋" w:eastAsia="仿宋" w:cs="仿宋"/>
                <w:szCs w:val="24"/>
              </w:rPr>
              <w:t>评分因素类型</w:t>
            </w:r>
          </w:p>
        </w:tc>
      </w:tr>
      <w:tr w14:paraId="0629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50" w:hRule="atLeast"/>
          <w:tblCellSpacing w:w="0" w:type="dxa"/>
        </w:trPr>
        <w:tc>
          <w:tcPr>
            <w:tcW w:w="1716" w:type="dxa"/>
            <w:tcBorders>
              <w:top w:val="single" w:color="auto" w:sz="4" w:space="0"/>
              <w:left w:val="single" w:color="auto" w:sz="4" w:space="0"/>
              <w:bottom w:val="single" w:color="auto" w:sz="4" w:space="0"/>
              <w:right w:val="single" w:color="auto" w:sz="4" w:space="0"/>
            </w:tcBorders>
            <w:vAlign w:val="center"/>
          </w:tcPr>
          <w:p w14:paraId="001E5BF3">
            <w:pPr>
              <w:spacing w:line="360" w:lineRule="auto"/>
              <w:rPr>
                <w:rFonts w:ascii="仿宋" w:hAnsi="仿宋" w:eastAsia="仿宋" w:cs="仿宋"/>
                <w:szCs w:val="24"/>
              </w:rPr>
            </w:pPr>
            <w:r>
              <w:rPr>
                <w:rFonts w:hint="eastAsia" w:ascii="仿宋" w:hAnsi="仿宋" w:eastAsia="仿宋" w:cs="仿宋"/>
                <w:szCs w:val="24"/>
              </w:rPr>
              <w:t>报价（50分）</w:t>
            </w:r>
          </w:p>
        </w:tc>
        <w:tc>
          <w:tcPr>
            <w:tcW w:w="5087" w:type="dxa"/>
            <w:tcBorders>
              <w:top w:val="single" w:color="auto" w:sz="4" w:space="0"/>
              <w:left w:val="single" w:color="auto" w:sz="4" w:space="0"/>
              <w:bottom w:val="single" w:color="auto" w:sz="4" w:space="0"/>
              <w:right w:val="single" w:color="auto" w:sz="4" w:space="0"/>
            </w:tcBorders>
            <w:vAlign w:val="center"/>
          </w:tcPr>
          <w:p w14:paraId="0690DCC9">
            <w:pPr>
              <w:spacing w:line="360" w:lineRule="auto"/>
              <w:rPr>
                <w:rFonts w:ascii="仿宋" w:hAnsi="仿宋" w:eastAsia="仿宋" w:cs="仿宋"/>
                <w:szCs w:val="24"/>
              </w:rPr>
            </w:pPr>
            <w:r>
              <w:rPr>
                <w:rFonts w:hint="eastAsia" w:ascii="仿宋" w:hAnsi="仿宋" w:eastAsia="仿宋" w:cs="仿宋"/>
                <w:szCs w:val="24"/>
              </w:rPr>
              <w:t>1、满足招标文件要求且报价为有效报价的最低价为基准价，其价格分为满分。其他投标人的价格分统一按照下列公式计算：报价得分=（基准价/报价）×50%×100。</w:t>
            </w:r>
          </w:p>
        </w:tc>
        <w:tc>
          <w:tcPr>
            <w:tcW w:w="1100" w:type="dxa"/>
            <w:tcBorders>
              <w:top w:val="single" w:color="auto" w:sz="4" w:space="0"/>
              <w:left w:val="single" w:color="auto" w:sz="4" w:space="0"/>
              <w:bottom w:val="single" w:color="auto" w:sz="4" w:space="0"/>
              <w:right w:val="single" w:color="auto" w:sz="4" w:space="0"/>
            </w:tcBorders>
            <w:vAlign w:val="center"/>
          </w:tcPr>
          <w:p w14:paraId="58F7CF01">
            <w:pPr>
              <w:spacing w:line="360" w:lineRule="auto"/>
              <w:ind w:firstLine="480" w:firstLineChars="200"/>
              <w:rPr>
                <w:rFonts w:ascii="仿宋" w:hAnsi="仿宋" w:eastAsia="仿宋" w:cs="仿宋"/>
                <w:szCs w:val="24"/>
              </w:rPr>
            </w:pPr>
          </w:p>
        </w:tc>
        <w:tc>
          <w:tcPr>
            <w:tcW w:w="1487" w:type="dxa"/>
            <w:tcBorders>
              <w:top w:val="single" w:color="auto" w:sz="4" w:space="0"/>
              <w:left w:val="single" w:color="auto" w:sz="4" w:space="0"/>
              <w:bottom w:val="single" w:color="auto" w:sz="4" w:space="0"/>
              <w:right w:val="single" w:color="auto" w:sz="4" w:space="0"/>
            </w:tcBorders>
            <w:vAlign w:val="center"/>
          </w:tcPr>
          <w:p w14:paraId="2AACC2F1">
            <w:pPr>
              <w:spacing w:line="360" w:lineRule="auto"/>
              <w:rPr>
                <w:rFonts w:ascii="仿宋" w:hAnsi="仿宋" w:eastAsia="仿宋" w:cs="仿宋"/>
                <w:szCs w:val="24"/>
              </w:rPr>
            </w:pPr>
            <w:r>
              <w:rPr>
                <w:rFonts w:hint="eastAsia" w:ascii="仿宋" w:hAnsi="仿宋" w:eastAsia="仿宋" w:cs="仿宋"/>
                <w:szCs w:val="24"/>
              </w:rPr>
              <w:t>共同评分因素</w:t>
            </w:r>
          </w:p>
        </w:tc>
      </w:tr>
      <w:tr w14:paraId="7E24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440" w:hRule="atLeast"/>
          <w:tblCellSpacing w:w="0" w:type="dxa"/>
        </w:trPr>
        <w:tc>
          <w:tcPr>
            <w:tcW w:w="1716" w:type="dxa"/>
            <w:tcBorders>
              <w:top w:val="single" w:color="auto" w:sz="4" w:space="0"/>
              <w:left w:val="single" w:color="auto" w:sz="4" w:space="0"/>
              <w:bottom w:val="single" w:color="auto" w:sz="4" w:space="0"/>
              <w:right w:val="single" w:color="auto" w:sz="4" w:space="0"/>
            </w:tcBorders>
            <w:vAlign w:val="center"/>
          </w:tcPr>
          <w:p w14:paraId="411FC02C">
            <w:pPr>
              <w:spacing w:line="360" w:lineRule="auto"/>
              <w:rPr>
                <w:rFonts w:ascii="仿宋" w:hAnsi="仿宋" w:eastAsia="仿宋" w:cs="仿宋"/>
                <w:szCs w:val="24"/>
              </w:rPr>
            </w:pPr>
            <w:r>
              <w:rPr>
                <w:rFonts w:hint="eastAsia" w:ascii="仿宋" w:hAnsi="仿宋" w:eastAsia="仿宋" w:cs="仿宋"/>
                <w:szCs w:val="24"/>
              </w:rPr>
              <w:t>施工组织设计及管理方案（35分）</w:t>
            </w:r>
          </w:p>
        </w:tc>
        <w:tc>
          <w:tcPr>
            <w:tcW w:w="5087" w:type="dxa"/>
            <w:tcBorders>
              <w:top w:val="single" w:color="auto" w:sz="4" w:space="0"/>
              <w:left w:val="single" w:color="auto" w:sz="4" w:space="0"/>
              <w:bottom w:val="single" w:color="auto" w:sz="4" w:space="0"/>
              <w:right w:val="single" w:color="auto" w:sz="4" w:space="0"/>
            </w:tcBorders>
            <w:vAlign w:val="center"/>
          </w:tcPr>
          <w:p w14:paraId="25746630">
            <w:pPr>
              <w:spacing w:line="360" w:lineRule="auto"/>
              <w:rPr>
                <w:rFonts w:ascii="仿宋" w:hAnsi="仿宋" w:eastAsia="仿宋" w:cs="仿宋"/>
                <w:szCs w:val="24"/>
              </w:rPr>
            </w:pPr>
            <w:r>
              <w:rPr>
                <w:rFonts w:hint="eastAsia" w:ascii="仿宋" w:hAnsi="仿宋" w:eastAsia="仿宋" w:cs="仿宋"/>
                <w:szCs w:val="24"/>
              </w:rPr>
              <w:t>供应商提供的施工组织设计方案包含但不限于：</w:t>
            </w:r>
          </w:p>
          <w:p w14:paraId="3E5EFACD">
            <w:pPr>
              <w:spacing w:line="360" w:lineRule="auto"/>
              <w:ind w:firstLine="480" w:firstLineChars="200"/>
              <w:rPr>
                <w:rFonts w:ascii="仿宋" w:hAnsi="仿宋" w:eastAsia="仿宋" w:cs="仿宋"/>
                <w:szCs w:val="24"/>
              </w:rPr>
            </w:pPr>
            <w:r>
              <w:rPr>
                <w:rFonts w:hint="eastAsia" w:ascii="仿宋" w:hAnsi="仿宋" w:eastAsia="仿宋" w:cs="仿宋"/>
                <w:szCs w:val="24"/>
              </w:rPr>
              <w:t>①施工方案、②项目进度计划、③质量保证措施、④安全保证措施、⑤环境文明措施、⑥应急预案、⑦资源配制计划；以上每项内容完全符合本项目实际情况且响应招标文件的得35分，每缺少一项内容扣5分，有一项内容错误的扣2分，直至本项分值扣完为止。</w:t>
            </w:r>
          </w:p>
          <w:p w14:paraId="33F6A368">
            <w:pPr>
              <w:spacing w:line="360" w:lineRule="auto"/>
              <w:ind w:firstLine="480" w:firstLineChars="200"/>
              <w:rPr>
                <w:rFonts w:ascii="仿宋" w:hAnsi="仿宋" w:eastAsia="仿宋" w:cs="仿宋"/>
                <w:szCs w:val="24"/>
              </w:rPr>
            </w:pPr>
            <w:r>
              <w:rPr>
                <w:rFonts w:hint="eastAsia" w:ascii="仿宋" w:hAnsi="仿宋" w:eastAsia="仿宋" w:cs="仿宋"/>
                <w:szCs w:val="24"/>
              </w:rPr>
              <w:t>注：内容缺陷是指：非专门针对本项目或不适用本项目特性的情形，内容不完整或缺少关键节点，内容前后矛盾、涉及的规范及标准错误、不利于项目实施、不可能实现的情形等任意一种情形。</w:t>
            </w:r>
          </w:p>
        </w:tc>
        <w:tc>
          <w:tcPr>
            <w:tcW w:w="1100" w:type="dxa"/>
            <w:tcBorders>
              <w:top w:val="single" w:color="auto" w:sz="4" w:space="0"/>
              <w:left w:val="single" w:color="auto" w:sz="4" w:space="0"/>
              <w:bottom w:val="single" w:color="auto" w:sz="4" w:space="0"/>
              <w:right w:val="single" w:color="auto" w:sz="4" w:space="0"/>
            </w:tcBorders>
            <w:vAlign w:val="center"/>
          </w:tcPr>
          <w:p w14:paraId="6FD0F23E">
            <w:pPr>
              <w:spacing w:line="360" w:lineRule="auto"/>
              <w:ind w:firstLine="480" w:firstLineChars="200"/>
              <w:rPr>
                <w:rFonts w:ascii="仿宋" w:hAnsi="仿宋" w:eastAsia="仿宋" w:cs="仿宋"/>
                <w:szCs w:val="24"/>
              </w:rPr>
            </w:pPr>
          </w:p>
        </w:tc>
        <w:tc>
          <w:tcPr>
            <w:tcW w:w="1487" w:type="dxa"/>
            <w:tcBorders>
              <w:top w:val="single" w:color="auto" w:sz="4" w:space="0"/>
              <w:left w:val="single" w:color="auto" w:sz="4" w:space="0"/>
              <w:bottom w:val="single" w:color="auto" w:sz="4" w:space="0"/>
              <w:right w:val="single" w:color="auto" w:sz="4" w:space="0"/>
            </w:tcBorders>
            <w:vAlign w:val="center"/>
          </w:tcPr>
          <w:p w14:paraId="040E10B4">
            <w:pPr>
              <w:spacing w:line="360" w:lineRule="auto"/>
              <w:rPr>
                <w:rFonts w:ascii="仿宋" w:hAnsi="仿宋" w:eastAsia="仿宋" w:cs="仿宋"/>
                <w:szCs w:val="24"/>
              </w:rPr>
            </w:pPr>
            <w:r>
              <w:rPr>
                <w:rFonts w:hint="eastAsia" w:ascii="仿宋" w:hAnsi="仿宋" w:eastAsia="仿宋" w:cs="仿宋"/>
                <w:szCs w:val="24"/>
              </w:rPr>
              <w:t>技术类评分因素</w:t>
            </w:r>
          </w:p>
        </w:tc>
      </w:tr>
      <w:tr w14:paraId="0099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50" w:hRule="atLeast"/>
          <w:tblCellSpacing w:w="0" w:type="dxa"/>
        </w:trPr>
        <w:tc>
          <w:tcPr>
            <w:tcW w:w="1716" w:type="dxa"/>
            <w:tcBorders>
              <w:top w:val="single" w:color="auto" w:sz="4" w:space="0"/>
              <w:left w:val="single" w:color="auto" w:sz="4" w:space="0"/>
              <w:bottom w:val="single" w:color="auto" w:sz="4" w:space="0"/>
              <w:right w:val="single" w:color="auto" w:sz="4" w:space="0"/>
            </w:tcBorders>
            <w:vAlign w:val="center"/>
          </w:tcPr>
          <w:p w14:paraId="53F9374C">
            <w:pPr>
              <w:spacing w:line="360" w:lineRule="auto"/>
              <w:rPr>
                <w:rFonts w:ascii="仿宋" w:hAnsi="仿宋" w:eastAsia="仿宋" w:cs="仿宋"/>
                <w:szCs w:val="24"/>
              </w:rPr>
            </w:pPr>
            <w:r>
              <w:rPr>
                <w:rFonts w:hint="eastAsia" w:ascii="仿宋" w:hAnsi="仿宋" w:eastAsia="仿宋" w:cs="仿宋"/>
                <w:szCs w:val="24"/>
              </w:rPr>
              <w:t>企业业绩</w:t>
            </w:r>
          </w:p>
          <w:p w14:paraId="03DE2B7B">
            <w:pPr>
              <w:spacing w:line="360" w:lineRule="auto"/>
              <w:rPr>
                <w:rFonts w:ascii="仿宋" w:hAnsi="仿宋" w:eastAsia="仿宋" w:cs="仿宋"/>
                <w:szCs w:val="24"/>
              </w:rPr>
            </w:pPr>
            <w:r>
              <w:rPr>
                <w:rFonts w:hint="eastAsia" w:ascii="仿宋" w:hAnsi="仿宋" w:eastAsia="仿宋" w:cs="仿宋"/>
                <w:szCs w:val="24"/>
              </w:rPr>
              <w:t>（6分）</w:t>
            </w:r>
          </w:p>
        </w:tc>
        <w:tc>
          <w:tcPr>
            <w:tcW w:w="5087" w:type="dxa"/>
            <w:tcBorders>
              <w:top w:val="single" w:color="auto" w:sz="4" w:space="0"/>
              <w:left w:val="single" w:color="auto" w:sz="4" w:space="0"/>
              <w:bottom w:val="single" w:color="auto" w:sz="4" w:space="0"/>
              <w:right w:val="single" w:color="auto" w:sz="4" w:space="0"/>
            </w:tcBorders>
            <w:vAlign w:val="center"/>
          </w:tcPr>
          <w:p w14:paraId="57558651">
            <w:pPr>
              <w:spacing w:line="360" w:lineRule="auto"/>
              <w:rPr>
                <w:rFonts w:ascii="仿宋" w:hAnsi="仿宋" w:eastAsia="仿宋" w:cs="仿宋"/>
                <w:szCs w:val="24"/>
              </w:rPr>
            </w:pPr>
            <w:r>
              <w:rPr>
                <w:rFonts w:hint="eastAsia" w:ascii="仿宋" w:hAnsi="仿宋" w:eastAsia="仿宋" w:cs="仿宋"/>
                <w:szCs w:val="24"/>
              </w:rPr>
              <w:t>供应商2020年1月1日（含1日）至投标截止之日每有一个已完成类似业绩的得3分，每增加一个业绩加3，最多得6分。（提供中标通知书或施工合同复印件，</w:t>
            </w:r>
            <w:r>
              <w:rPr>
                <w:rFonts w:hint="eastAsia" w:ascii="仿宋" w:hAnsi="仿宋" w:eastAsia="仿宋" w:cs="仿宋"/>
                <w:color w:val="0000FF"/>
                <w:szCs w:val="24"/>
              </w:rPr>
              <w:t>以上证明资料均须加盖供应商鲜章。</w:t>
            </w:r>
            <w:r>
              <w:rPr>
                <w:rFonts w:hint="eastAsia" w:ascii="仿宋" w:hAnsi="仿宋" w:eastAsia="仿宋" w:cs="仿宋"/>
                <w:szCs w:val="24"/>
              </w:rPr>
              <w:t>）</w:t>
            </w:r>
          </w:p>
        </w:tc>
        <w:tc>
          <w:tcPr>
            <w:tcW w:w="1100" w:type="dxa"/>
            <w:tcBorders>
              <w:top w:val="single" w:color="auto" w:sz="4" w:space="0"/>
              <w:left w:val="single" w:color="auto" w:sz="4" w:space="0"/>
              <w:bottom w:val="single" w:color="auto" w:sz="4" w:space="0"/>
              <w:right w:val="single" w:color="auto" w:sz="4" w:space="0"/>
            </w:tcBorders>
            <w:vAlign w:val="center"/>
          </w:tcPr>
          <w:p w14:paraId="1B2F2D78">
            <w:pPr>
              <w:spacing w:line="360" w:lineRule="auto"/>
              <w:ind w:firstLine="480" w:firstLineChars="200"/>
              <w:rPr>
                <w:rFonts w:ascii="仿宋" w:hAnsi="仿宋" w:eastAsia="仿宋" w:cs="仿宋"/>
                <w:szCs w:val="24"/>
              </w:rPr>
            </w:pPr>
          </w:p>
        </w:tc>
        <w:tc>
          <w:tcPr>
            <w:tcW w:w="1487" w:type="dxa"/>
            <w:tcBorders>
              <w:top w:val="single" w:color="auto" w:sz="4" w:space="0"/>
              <w:left w:val="single" w:color="auto" w:sz="4" w:space="0"/>
              <w:bottom w:val="single" w:color="auto" w:sz="4" w:space="0"/>
              <w:right w:val="single" w:color="auto" w:sz="4" w:space="0"/>
            </w:tcBorders>
            <w:vAlign w:val="center"/>
          </w:tcPr>
          <w:p w14:paraId="47DF7D30">
            <w:pPr>
              <w:spacing w:line="360" w:lineRule="auto"/>
              <w:rPr>
                <w:rFonts w:ascii="仿宋" w:hAnsi="仿宋" w:eastAsia="仿宋" w:cs="仿宋"/>
                <w:szCs w:val="24"/>
              </w:rPr>
            </w:pPr>
            <w:r>
              <w:rPr>
                <w:rFonts w:hint="eastAsia" w:ascii="仿宋" w:hAnsi="仿宋" w:eastAsia="仿宋" w:cs="仿宋"/>
                <w:szCs w:val="24"/>
              </w:rPr>
              <w:t>共同评分因素</w:t>
            </w:r>
          </w:p>
        </w:tc>
      </w:tr>
      <w:tr w14:paraId="180A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50" w:hRule="atLeast"/>
          <w:tblCellSpacing w:w="0" w:type="dxa"/>
        </w:trPr>
        <w:tc>
          <w:tcPr>
            <w:tcW w:w="1716" w:type="dxa"/>
            <w:tcBorders>
              <w:top w:val="single" w:color="auto" w:sz="4" w:space="0"/>
              <w:left w:val="single" w:color="auto" w:sz="4" w:space="0"/>
              <w:bottom w:val="single" w:color="auto" w:sz="4" w:space="0"/>
              <w:right w:val="single" w:color="auto" w:sz="4" w:space="0"/>
            </w:tcBorders>
            <w:vAlign w:val="center"/>
          </w:tcPr>
          <w:p w14:paraId="5B63C9CA">
            <w:pPr>
              <w:spacing w:line="360" w:lineRule="auto"/>
              <w:rPr>
                <w:rFonts w:ascii="仿宋" w:hAnsi="仿宋" w:eastAsia="仿宋" w:cs="仿宋"/>
                <w:szCs w:val="24"/>
              </w:rPr>
            </w:pPr>
            <w:r>
              <w:rPr>
                <w:rFonts w:hint="eastAsia" w:ascii="仿宋" w:hAnsi="仿宋" w:eastAsia="仿宋" w:cs="仿宋"/>
                <w:szCs w:val="24"/>
              </w:rPr>
              <w:t>人员（9分）</w:t>
            </w:r>
          </w:p>
        </w:tc>
        <w:tc>
          <w:tcPr>
            <w:tcW w:w="5087" w:type="dxa"/>
            <w:tcBorders>
              <w:top w:val="single" w:color="auto" w:sz="4" w:space="0"/>
              <w:left w:val="single" w:color="auto" w:sz="4" w:space="0"/>
              <w:bottom w:val="single" w:color="auto" w:sz="4" w:space="0"/>
              <w:right w:val="single" w:color="auto" w:sz="4" w:space="0"/>
            </w:tcBorders>
            <w:vAlign w:val="center"/>
          </w:tcPr>
          <w:p w14:paraId="22BBC7EC">
            <w:pPr>
              <w:spacing w:line="360" w:lineRule="auto"/>
              <w:rPr>
                <w:rFonts w:ascii="仿宋" w:hAnsi="仿宋" w:eastAsia="仿宋" w:cs="仿宋"/>
                <w:szCs w:val="24"/>
              </w:rPr>
            </w:pPr>
            <w:r>
              <w:rPr>
                <w:rFonts w:hint="eastAsia" w:ascii="仿宋" w:hAnsi="仿宋" w:eastAsia="仿宋" w:cs="仿宋"/>
                <w:szCs w:val="24"/>
              </w:rPr>
              <w:t>供应商配备有项目施工员、质量员、安全员，以上人员提供一类得3分，满分9分。（注以上人员须提供证明材料，并加盖投标单位公章或电子章）</w:t>
            </w:r>
          </w:p>
        </w:tc>
        <w:tc>
          <w:tcPr>
            <w:tcW w:w="1100" w:type="dxa"/>
            <w:tcBorders>
              <w:top w:val="single" w:color="auto" w:sz="4" w:space="0"/>
              <w:left w:val="single" w:color="auto" w:sz="4" w:space="0"/>
              <w:bottom w:val="single" w:color="auto" w:sz="4" w:space="0"/>
              <w:right w:val="single" w:color="auto" w:sz="4" w:space="0"/>
            </w:tcBorders>
            <w:vAlign w:val="center"/>
          </w:tcPr>
          <w:p w14:paraId="7A60DCFF">
            <w:pPr>
              <w:spacing w:line="360" w:lineRule="auto"/>
              <w:ind w:firstLine="480" w:firstLineChars="200"/>
              <w:rPr>
                <w:rFonts w:ascii="仿宋" w:hAnsi="仿宋" w:eastAsia="仿宋" w:cs="仿宋"/>
                <w:szCs w:val="24"/>
              </w:rPr>
            </w:pPr>
          </w:p>
        </w:tc>
        <w:tc>
          <w:tcPr>
            <w:tcW w:w="1487" w:type="dxa"/>
            <w:tcBorders>
              <w:top w:val="single" w:color="auto" w:sz="4" w:space="0"/>
              <w:left w:val="single" w:color="auto" w:sz="4" w:space="0"/>
              <w:bottom w:val="single" w:color="auto" w:sz="4" w:space="0"/>
              <w:right w:val="single" w:color="auto" w:sz="4" w:space="0"/>
            </w:tcBorders>
            <w:vAlign w:val="center"/>
          </w:tcPr>
          <w:p w14:paraId="78E40B42">
            <w:pPr>
              <w:spacing w:line="360" w:lineRule="auto"/>
              <w:rPr>
                <w:rFonts w:ascii="仿宋" w:hAnsi="仿宋" w:eastAsia="仿宋" w:cs="仿宋"/>
                <w:szCs w:val="24"/>
              </w:rPr>
            </w:pPr>
            <w:r>
              <w:rPr>
                <w:rFonts w:hint="eastAsia" w:ascii="仿宋" w:hAnsi="仿宋" w:eastAsia="仿宋" w:cs="仿宋"/>
                <w:szCs w:val="24"/>
              </w:rPr>
              <w:t>共同评分因素</w:t>
            </w:r>
          </w:p>
        </w:tc>
      </w:tr>
    </w:tbl>
    <w:p w14:paraId="56FF886A">
      <w:pPr>
        <w:widowControl/>
        <w:tabs>
          <w:tab w:val="left" w:pos="0"/>
        </w:tabs>
        <w:jc w:val="left"/>
        <w:rPr>
          <w:rFonts w:hAnsi="宋体" w:cs="仿宋"/>
          <w:color w:val="000000" w:themeColor="text1"/>
          <w:szCs w:val="24"/>
        </w:rPr>
      </w:pPr>
    </w:p>
    <w:p w14:paraId="548A5E84">
      <w:pPr>
        <w:spacing w:line="360" w:lineRule="auto"/>
        <w:ind w:firstLine="480" w:firstLineChars="200"/>
        <w:rPr>
          <w:rFonts w:hAnsi="宋体" w:cs="宋体"/>
          <w:bCs/>
        </w:rPr>
      </w:pPr>
      <w:bookmarkStart w:id="574" w:name="_Toc1697"/>
      <w:r>
        <w:rPr>
          <w:rFonts w:hint="eastAsia" w:hAnsi="宋体" w:cs="宋体"/>
          <w:bCs/>
        </w:rPr>
        <w:t>五、磋商纪律及注意事项</w:t>
      </w:r>
      <w:bookmarkEnd w:id="572"/>
      <w:bookmarkEnd w:id="573"/>
      <w:bookmarkEnd w:id="574"/>
    </w:p>
    <w:p w14:paraId="482804D0">
      <w:pPr>
        <w:spacing w:line="360" w:lineRule="auto"/>
        <w:ind w:firstLine="480" w:firstLineChars="200"/>
        <w:rPr>
          <w:rFonts w:hAnsi="宋体" w:cs="宋体"/>
          <w:bCs/>
        </w:rPr>
      </w:pPr>
      <w:r>
        <w:rPr>
          <w:rFonts w:hint="eastAsia" w:hAnsi="宋体" w:cs="宋体"/>
          <w:bCs/>
        </w:rPr>
        <w:t>1、磋商小组内部讨论的情况和意见必须保密，任何人不得以任何形式透露给供应商或与供应商有关的单位或个人。</w:t>
      </w:r>
    </w:p>
    <w:p w14:paraId="080DCAB6">
      <w:pPr>
        <w:spacing w:line="360" w:lineRule="auto"/>
        <w:ind w:firstLine="480" w:firstLineChars="200"/>
        <w:rPr>
          <w:rFonts w:hAnsi="宋体" w:cs="宋体"/>
          <w:bCs/>
        </w:rPr>
      </w:pPr>
      <w:r>
        <w:rPr>
          <w:rFonts w:hint="eastAsia" w:hAnsi="宋体" w:cs="宋体"/>
          <w:bCs/>
        </w:rPr>
        <w:t>2、在磋商过程中，供应商不得以任何形式对磋商小组成员进行旨在影响磋商结果的私下接触，否则将取消其参与磋商的资格。</w:t>
      </w:r>
    </w:p>
    <w:p w14:paraId="5E9BA795">
      <w:pPr>
        <w:spacing w:line="360" w:lineRule="auto"/>
        <w:ind w:firstLine="480" w:firstLineChars="200"/>
        <w:rPr>
          <w:rFonts w:hAnsi="宋体" w:cs="宋体"/>
          <w:bCs/>
        </w:rPr>
      </w:pPr>
      <w:r>
        <w:rPr>
          <w:rFonts w:hint="eastAsia" w:hAnsi="宋体" w:cs="宋体"/>
          <w:bCs/>
        </w:rPr>
        <w:t>3、对各供应商的商业秘密，磋商小组成员应予以保密，不得泄露给其他供应商。</w:t>
      </w:r>
    </w:p>
    <w:p w14:paraId="7BE4B35D">
      <w:pPr>
        <w:spacing w:line="360" w:lineRule="auto"/>
        <w:ind w:firstLine="480" w:firstLineChars="200"/>
        <w:rPr>
          <w:rFonts w:hAnsi="宋体" w:cs="宋体"/>
          <w:bCs/>
        </w:rPr>
      </w:pPr>
      <w:r>
        <w:rPr>
          <w:rFonts w:hint="eastAsia" w:hAnsi="宋体" w:cs="宋体"/>
          <w:bCs/>
        </w:rPr>
        <w:t>4、磋商小组独立评判，推荐成交候选人，并写出书面报告。</w:t>
      </w:r>
    </w:p>
    <w:p w14:paraId="3CCDF798">
      <w:pPr>
        <w:spacing w:line="360" w:lineRule="auto"/>
        <w:ind w:firstLine="480" w:firstLineChars="200"/>
        <w:rPr>
          <w:rFonts w:hAnsi="宋体" w:cs="宋体"/>
          <w:bCs/>
        </w:rPr>
      </w:pPr>
      <w:r>
        <w:rPr>
          <w:rFonts w:hint="eastAsia" w:hAnsi="宋体" w:cs="宋体"/>
          <w:bCs/>
        </w:rPr>
        <w:t>5、磋商小组可根据需要对供应商进行实地考察。</w:t>
      </w:r>
    </w:p>
    <w:p w14:paraId="2965258C">
      <w:pPr>
        <w:spacing w:line="360" w:lineRule="auto"/>
        <w:ind w:firstLine="480" w:firstLineChars="200"/>
        <w:rPr>
          <w:rFonts w:hAnsi="宋体" w:cs="宋体"/>
          <w:bCs/>
        </w:rPr>
      </w:pPr>
      <w:bookmarkStart w:id="575" w:name="_Toc15109_WPSOffice_Level2"/>
      <w:bookmarkStart w:id="576" w:name="_Toc13680"/>
      <w:r>
        <w:rPr>
          <w:rFonts w:hint="eastAsia" w:hAnsi="宋体" w:cs="宋体"/>
          <w:bCs/>
        </w:rPr>
        <w:t>6、磋商小组在采购活动中承担以下义务：</w:t>
      </w:r>
      <w:bookmarkEnd w:id="575"/>
      <w:bookmarkEnd w:id="576"/>
    </w:p>
    <w:p w14:paraId="21BC87C6">
      <w:pPr>
        <w:spacing w:line="360" w:lineRule="auto"/>
        <w:ind w:firstLine="480" w:firstLineChars="200"/>
        <w:rPr>
          <w:rFonts w:hAnsi="宋体" w:cs="宋体"/>
          <w:bCs/>
        </w:rPr>
      </w:pPr>
      <w:r>
        <w:rPr>
          <w:rFonts w:hint="eastAsia" w:hAnsi="宋体" w:cs="宋体"/>
          <w:bCs/>
        </w:rPr>
        <w:t>（一）遵守评审工作纪律；</w:t>
      </w:r>
    </w:p>
    <w:p w14:paraId="0AB3D414">
      <w:pPr>
        <w:spacing w:line="360" w:lineRule="auto"/>
        <w:ind w:firstLine="480" w:firstLineChars="200"/>
        <w:rPr>
          <w:rFonts w:hAnsi="宋体" w:cs="宋体"/>
          <w:bCs/>
        </w:rPr>
      </w:pPr>
      <w:r>
        <w:rPr>
          <w:rFonts w:hint="eastAsia" w:hAnsi="宋体" w:cs="宋体"/>
          <w:bCs/>
        </w:rPr>
        <w:t>（二）按照客观、公正、审慎的原则，根据磋商文件规定的评审程序、评审方法和评审标准进行独立评审；</w:t>
      </w:r>
    </w:p>
    <w:p w14:paraId="24FE0F2A">
      <w:pPr>
        <w:spacing w:line="360" w:lineRule="auto"/>
        <w:ind w:firstLine="480" w:firstLineChars="200"/>
        <w:rPr>
          <w:rFonts w:hAnsi="宋体" w:cs="宋体"/>
          <w:bCs/>
        </w:rPr>
      </w:pPr>
      <w:r>
        <w:rPr>
          <w:rFonts w:hint="eastAsia" w:hAnsi="宋体" w:cs="宋体"/>
          <w:bCs/>
        </w:rPr>
        <w:t>（三）不得泄露评审文件、评审情况和在评审过程中获悉的商业秘密；</w:t>
      </w:r>
    </w:p>
    <w:p w14:paraId="62ED6FF9">
      <w:pPr>
        <w:spacing w:line="360" w:lineRule="auto"/>
        <w:ind w:firstLine="480" w:firstLineChars="200"/>
        <w:rPr>
          <w:rFonts w:hAnsi="宋体" w:cs="宋体"/>
          <w:bCs/>
        </w:rPr>
      </w:pPr>
      <w:r>
        <w:rPr>
          <w:rFonts w:hint="eastAsia" w:hAnsi="宋体" w:cs="宋体"/>
          <w:bCs/>
        </w:rPr>
        <w:t>（四）及时向监察部门报告评审过程中发现的采购单位、采购代理机构向评审专家做倾向性、误导性的解释或者说明，以及供应商行贿、提供虚假材料或者串通等违法行为；</w:t>
      </w:r>
    </w:p>
    <w:p w14:paraId="63E33197">
      <w:pPr>
        <w:spacing w:line="360" w:lineRule="auto"/>
        <w:ind w:firstLine="480" w:firstLineChars="200"/>
        <w:rPr>
          <w:rFonts w:hAnsi="宋体" w:cs="宋体"/>
          <w:bCs/>
        </w:rPr>
      </w:pPr>
      <w:r>
        <w:rPr>
          <w:rFonts w:hint="eastAsia" w:hAnsi="宋体" w:cs="宋体"/>
          <w:bCs/>
        </w:rPr>
        <w:t>（五）发现磋商文件内容违反国家有关强制性规定或者磋商文件存在歧义、重大缺陷导致评审工作无法进行时，停止评审并向采购单位或者采购代理机构书面说明情况；</w:t>
      </w:r>
    </w:p>
    <w:p w14:paraId="33E96204">
      <w:pPr>
        <w:spacing w:line="360" w:lineRule="auto"/>
        <w:ind w:firstLine="480" w:firstLineChars="200"/>
        <w:rPr>
          <w:rFonts w:hAnsi="宋体" w:cs="宋体"/>
          <w:bCs/>
        </w:rPr>
      </w:pPr>
      <w:r>
        <w:rPr>
          <w:rFonts w:hint="eastAsia" w:hAnsi="宋体" w:cs="宋体"/>
          <w:bCs/>
        </w:rPr>
        <w:t>（六）及时向监察等部门举报在评审过程中受到非法干预的情况；</w:t>
      </w:r>
    </w:p>
    <w:p w14:paraId="2BD72562">
      <w:pPr>
        <w:spacing w:line="360" w:lineRule="auto"/>
        <w:ind w:firstLine="480" w:firstLineChars="200"/>
        <w:rPr>
          <w:rFonts w:hAnsi="宋体" w:cs="宋体"/>
          <w:bCs/>
        </w:rPr>
      </w:pPr>
      <w:r>
        <w:rPr>
          <w:rFonts w:hint="eastAsia" w:hAnsi="宋体" w:cs="宋体"/>
          <w:bCs/>
        </w:rPr>
        <w:t>（七）配合答复处理供应商的询问、质疑和投诉等事项；</w:t>
      </w:r>
    </w:p>
    <w:p w14:paraId="29C1985E">
      <w:pPr>
        <w:spacing w:line="360" w:lineRule="auto"/>
        <w:ind w:firstLine="480" w:firstLineChars="200"/>
        <w:rPr>
          <w:rFonts w:hAnsi="宋体" w:cs="宋体"/>
          <w:bCs/>
        </w:rPr>
      </w:pPr>
      <w:r>
        <w:rPr>
          <w:rFonts w:hint="eastAsia" w:hAnsi="宋体" w:cs="宋体"/>
          <w:bCs/>
        </w:rPr>
        <w:t>（八）法律、法规和规章规定的其他义务。</w:t>
      </w:r>
    </w:p>
    <w:p w14:paraId="767A9BE3">
      <w:pPr>
        <w:spacing w:line="360" w:lineRule="auto"/>
        <w:ind w:firstLine="480" w:firstLineChars="200"/>
        <w:rPr>
          <w:rFonts w:hAnsi="宋体" w:cs="宋体"/>
          <w:bCs/>
        </w:rPr>
      </w:pPr>
      <w:bookmarkStart w:id="577" w:name="_Toc31979_WPSOffice_Level2"/>
      <w:bookmarkStart w:id="578" w:name="_Toc19239"/>
      <w:r>
        <w:rPr>
          <w:rFonts w:hAnsi="宋体" w:cs="宋体"/>
          <w:bCs/>
        </w:rPr>
        <w:t>7、</w:t>
      </w:r>
      <w:r>
        <w:rPr>
          <w:rFonts w:hint="eastAsia" w:hAnsi="宋体" w:cs="宋体"/>
          <w:bCs/>
        </w:rPr>
        <w:t>评审专家在采购活动中应当遵守以下工作纪律：</w:t>
      </w:r>
      <w:bookmarkEnd w:id="577"/>
      <w:bookmarkEnd w:id="578"/>
    </w:p>
    <w:p w14:paraId="00D66354">
      <w:pPr>
        <w:spacing w:line="360" w:lineRule="auto"/>
        <w:ind w:firstLine="480" w:firstLineChars="200"/>
        <w:rPr>
          <w:rFonts w:hAnsi="宋体" w:cs="宋体"/>
          <w:bCs/>
        </w:rPr>
      </w:pPr>
      <w:r>
        <w:rPr>
          <w:rFonts w:hint="eastAsia" w:hAnsi="宋体" w:cs="宋体"/>
          <w:bCs/>
        </w:rPr>
        <w:t>（一）不得参加与自己有《中华人民共和国政府采购法实施条例》第九条规定的利害关系的采购项目的评标活动。发现参加了与自己有利害关系的评审活动，须主动提出回避，退出评审；</w:t>
      </w:r>
    </w:p>
    <w:p w14:paraId="710066B6">
      <w:pPr>
        <w:spacing w:line="360" w:lineRule="auto"/>
        <w:ind w:firstLine="480" w:firstLineChars="200"/>
        <w:rPr>
          <w:rFonts w:hAnsi="宋体" w:cs="宋体"/>
          <w:bCs/>
        </w:rPr>
      </w:pPr>
      <w:r>
        <w:rPr>
          <w:rFonts w:hint="eastAsia" w:hAnsi="宋体" w:cs="宋体"/>
          <w:bCs/>
        </w:rPr>
        <w:t>（二）评审前，应当将通讯工具或者相关电子设备交由采购代理机构统一保管；</w:t>
      </w:r>
    </w:p>
    <w:p w14:paraId="6A022626">
      <w:pPr>
        <w:spacing w:line="360" w:lineRule="auto"/>
        <w:ind w:firstLine="480" w:firstLineChars="200"/>
        <w:rPr>
          <w:rFonts w:hAnsi="宋体" w:cs="宋体"/>
          <w:bCs/>
        </w:rPr>
      </w:pPr>
      <w:r>
        <w:rPr>
          <w:rFonts w:hint="eastAsia" w:hAnsi="宋体" w:cs="宋体"/>
          <w:bCs/>
        </w:rPr>
        <w:t>（三）评审过程中，不得与外界联系，因发生不可预见情况，确实需要与外界联系的，应当在监督人员监督之下办理；</w:t>
      </w:r>
    </w:p>
    <w:p w14:paraId="6BA243FB">
      <w:pPr>
        <w:spacing w:line="360" w:lineRule="auto"/>
        <w:ind w:firstLine="480" w:firstLineChars="200"/>
        <w:rPr>
          <w:rFonts w:hAnsi="宋体" w:cs="宋体"/>
          <w:bCs/>
        </w:rPr>
      </w:pPr>
      <w:r>
        <w:rPr>
          <w:rFonts w:hint="eastAsia" w:hAnsi="宋体" w:cs="宋体"/>
          <w:bCs/>
        </w:rPr>
        <w:t>（四）评审过程中，不得发表影响评审公正的倾向性、歧视性言论，不得征询或者接受采购单位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1F0BA7C5">
      <w:pPr>
        <w:spacing w:line="360" w:lineRule="auto"/>
        <w:ind w:firstLine="480" w:firstLineChars="200"/>
        <w:rPr>
          <w:rFonts w:hAnsi="宋体" w:cs="宋体"/>
          <w:bCs/>
        </w:rPr>
      </w:pPr>
      <w:r>
        <w:rPr>
          <w:rFonts w:hint="eastAsia" w:hAnsi="宋体" w:cs="宋体"/>
          <w:bCs/>
        </w:rPr>
        <w:t>（五）在评审过程中和评审结束后，不得记录、复制或带走任何评审资料，不得向外界透露评审内容；</w:t>
      </w:r>
    </w:p>
    <w:p w14:paraId="4D9A0BB3">
      <w:pPr>
        <w:spacing w:line="360" w:lineRule="auto"/>
        <w:ind w:firstLine="480" w:firstLineChars="200"/>
        <w:rPr>
          <w:rFonts w:hAnsi="宋体" w:cs="宋体"/>
          <w:bCs/>
        </w:rPr>
      </w:pPr>
      <w:r>
        <w:rPr>
          <w:rFonts w:hint="eastAsia" w:hAnsi="宋体" w:cs="宋体"/>
          <w:bCs/>
        </w:rPr>
        <w:t>（六）评审现场服从采购代理机构工作人员的管理，接受现场监督人员的合法监督；</w:t>
      </w:r>
    </w:p>
    <w:p w14:paraId="4EA3E2CE">
      <w:pPr>
        <w:spacing w:line="360" w:lineRule="auto"/>
        <w:ind w:firstLine="480" w:firstLineChars="200"/>
        <w:rPr>
          <w:rFonts w:hAnsi="宋体" w:cs="宋体"/>
          <w:bCs/>
        </w:rPr>
      </w:pPr>
      <w:r>
        <w:rPr>
          <w:rFonts w:hint="eastAsia" w:hAnsi="宋体" w:cs="宋体"/>
          <w:bCs/>
        </w:rPr>
        <w:t>（七）遵守有关廉洁自律规定，不得私下接触供应商，不得收受供应商及有关业务单位和个人的财物或好处，不得接受采购代理机构的请托。</w:t>
      </w:r>
    </w:p>
    <w:p w14:paraId="415CAA46">
      <w:pPr>
        <w:rPr>
          <w:rFonts w:cs="宋体" w:asciiTheme="minorEastAsia" w:hAnsiTheme="minorEastAsia" w:eastAsiaTheme="minorEastAsia"/>
          <w:sz w:val="32"/>
          <w:szCs w:val="32"/>
        </w:rPr>
      </w:pPr>
      <w:bookmarkStart w:id="579" w:name="_Toc138167940"/>
      <w:bookmarkStart w:id="580" w:name="_Toc138168033"/>
      <w:r>
        <w:rPr>
          <w:rFonts w:hint="eastAsia" w:cs="宋体" w:asciiTheme="minorEastAsia" w:hAnsiTheme="minorEastAsia" w:eastAsiaTheme="minorEastAsia"/>
          <w:sz w:val="32"/>
          <w:szCs w:val="32"/>
        </w:rPr>
        <w:br w:type="page"/>
      </w:r>
    </w:p>
    <w:p w14:paraId="7D6E6FD0">
      <w:pPr>
        <w:pStyle w:val="34"/>
        <w:spacing w:line="360" w:lineRule="auto"/>
        <w:rPr>
          <w:rFonts w:cs="宋体" w:asciiTheme="minorEastAsia" w:hAnsiTheme="minorEastAsia" w:eastAsiaTheme="minorEastAsia"/>
          <w:sz w:val="32"/>
          <w:szCs w:val="32"/>
        </w:rPr>
      </w:pPr>
      <w:bookmarkStart w:id="581" w:name="_Toc7641"/>
      <w:bookmarkStart w:id="582" w:name="_Toc170477141"/>
      <w:r>
        <w:rPr>
          <w:rFonts w:hint="eastAsia" w:cs="宋体" w:asciiTheme="minorEastAsia" w:hAnsiTheme="minorEastAsia" w:eastAsiaTheme="minorEastAsia"/>
          <w:sz w:val="32"/>
          <w:szCs w:val="32"/>
        </w:rPr>
        <w:t xml:space="preserve">第七章 </w:t>
      </w:r>
      <w:r>
        <w:rPr>
          <w:rFonts w:cs="宋体" w:asciiTheme="minorEastAsia" w:hAnsiTheme="minorEastAsia" w:eastAsiaTheme="minorEastAsia"/>
          <w:sz w:val="32"/>
          <w:szCs w:val="32"/>
        </w:rPr>
        <w:t xml:space="preserve"> </w:t>
      </w:r>
      <w:r>
        <w:rPr>
          <w:rFonts w:hint="eastAsia" w:cs="宋体" w:asciiTheme="minorEastAsia" w:hAnsiTheme="minorEastAsia" w:eastAsiaTheme="minorEastAsia"/>
          <w:sz w:val="32"/>
          <w:szCs w:val="32"/>
        </w:rPr>
        <w:t>合同主要条款</w:t>
      </w:r>
      <w:bookmarkEnd w:id="579"/>
      <w:bookmarkEnd w:id="580"/>
      <w:bookmarkEnd w:id="581"/>
      <w:bookmarkEnd w:id="582"/>
      <w:bookmarkStart w:id="583" w:name="_Toc217446108"/>
    </w:p>
    <w:bookmarkEnd w:id="583"/>
    <w:p w14:paraId="5D1B1DE0">
      <w:pPr>
        <w:jc w:val="center"/>
        <w:rPr>
          <w:rFonts w:ascii="仿宋_GB2312" w:hAnsi="宋体" w:eastAsia="仿宋_GB2312"/>
          <w:b/>
          <w:bCs/>
          <w:sz w:val="44"/>
          <w:szCs w:val="44"/>
        </w:rPr>
      </w:pPr>
    </w:p>
    <w:p w14:paraId="7AE05C30">
      <w:pPr>
        <w:jc w:val="center"/>
        <w:rPr>
          <w:rFonts w:ascii="仿宋_GB2312" w:hAnsi="宋体" w:eastAsia="仿宋_GB2312"/>
        </w:rPr>
      </w:pPr>
    </w:p>
    <w:p w14:paraId="36601C00">
      <w:pPr>
        <w:jc w:val="center"/>
        <w:rPr>
          <w:rFonts w:ascii="仿宋_GB2312" w:hAnsi="宋体" w:eastAsia="仿宋_GB2312"/>
          <w:b/>
          <w:bCs/>
          <w:sz w:val="48"/>
        </w:rPr>
      </w:pPr>
    </w:p>
    <w:p w14:paraId="1A489378">
      <w:pPr>
        <w:jc w:val="center"/>
        <w:rPr>
          <w:rFonts w:ascii="仿宋_GB2312" w:hAnsi="宋体" w:eastAsia="仿宋_GB2312"/>
          <w:b/>
          <w:bCs/>
          <w:sz w:val="72"/>
          <w:szCs w:val="72"/>
        </w:rPr>
      </w:pPr>
      <w:r>
        <w:rPr>
          <w:rFonts w:hint="eastAsia" w:ascii="黑体" w:hAnsi="黑体" w:eastAsia="黑体" w:cs="黑体"/>
          <w:b/>
          <w:bCs/>
          <w:sz w:val="72"/>
          <w:szCs w:val="72"/>
        </w:rPr>
        <w:t>电力工程施工合同</w:t>
      </w:r>
    </w:p>
    <w:p w14:paraId="26400E2E">
      <w:pPr>
        <w:jc w:val="center"/>
        <w:rPr>
          <w:rFonts w:ascii="仿宋_GB2312" w:hAnsi="宋体" w:eastAsia="仿宋_GB2312"/>
          <w:b/>
          <w:bCs/>
          <w:sz w:val="48"/>
        </w:rPr>
      </w:pPr>
    </w:p>
    <w:p w14:paraId="0B256F9D">
      <w:pPr>
        <w:jc w:val="center"/>
        <w:rPr>
          <w:rFonts w:ascii="仿宋_GB2312" w:hAnsi="宋体" w:eastAsia="仿宋_GB2312"/>
          <w:b/>
          <w:bCs/>
        </w:rPr>
      </w:pPr>
    </w:p>
    <w:p w14:paraId="17B331C4">
      <w:pPr>
        <w:jc w:val="center"/>
        <w:rPr>
          <w:rFonts w:ascii="仿宋_GB2312" w:hAnsi="宋体" w:eastAsia="仿宋_GB2312"/>
          <w:sz w:val="32"/>
        </w:rPr>
      </w:pPr>
    </w:p>
    <w:p w14:paraId="73F4E81F">
      <w:pPr>
        <w:jc w:val="center"/>
        <w:rPr>
          <w:rFonts w:ascii="仿宋_GB2312" w:hAnsi="宋体" w:eastAsia="仿宋_GB2312"/>
          <w:sz w:val="32"/>
        </w:rPr>
      </w:pPr>
    </w:p>
    <w:p w14:paraId="56ABCB8E">
      <w:pPr>
        <w:jc w:val="center"/>
        <w:rPr>
          <w:rFonts w:ascii="仿宋_GB2312" w:hAnsi="宋体" w:eastAsia="仿宋_GB2312"/>
          <w:sz w:val="32"/>
        </w:rPr>
      </w:pPr>
    </w:p>
    <w:p w14:paraId="6350E990">
      <w:pPr>
        <w:jc w:val="center"/>
        <w:rPr>
          <w:rFonts w:ascii="仿宋_GB2312" w:hAnsi="宋体" w:eastAsia="仿宋_GB2312"/>
          <w:sz w:val="32"/>
        </w:rPr>
      </w:pPr>
    </w:p>
    <w:p w14:paraId="254E694C">
      <w:pPr>
        <w:rPr>
          <w:rFonts w:ascii="仿宋_GB2312" w:hAnsi="宋体" w:eastAsia="仿宋_GB2312"/>
          <w:sz w:val="36"/>
        </w:rPr>
      </w:pPr>
    </w:p>
    <w:p w14:paraId="6378C4D3">
      <w:pPr>
        <w:spacing w:line="720" w:lineRule="auto"/>
        <w:ind w:firstLine="320" w:firstLineChars="100"/>
        <w:rPr>
          <w:rFonts w:ascii="黑体" w:hAnsi="黑体" w:eastAsia="黑体" w:cs="黑体"/>
          <w:sz w:val="32"/>
          <w:szCs w:val="32"/>
          <w:u w:val="single"/>
        </w:rPr>
      </w:pPr>
      <w:r>
        <w:rPr>
          <w:rFonts w:hint="eastAsia" w:ascii="黑体" w:hAnsi="黑体" w:eastAsia="黑体" w:cs="黑体"/>
          <w:sz w:val="32"/>
          <w:szCs w:val="32"/>
        </w:rPr>
        <w:t>工程名称：</w:t>
      </w:r>
      <w:r>
        <w:rPr>
          <w:rStyle w:val="68"/>
          <w:rFonts w:hint="eastAsia" w:ascii="黑体" w:hAnsi="黑体" w:eastAsia="黑体" w:cs="黑体"/>
          <w:bCs/>
          <w:sz w:val="32"/>
          <w:szCs w:val="32"/>
          <w:u w:val="single"/>
        </w:rPr>
        <w:t xml:space="preserve">                                       </w:t>
      </w:r>
      <w:r>
        <w:rPr>
          <w:rFonts w:hint="eastAsia" w:ascii="黑体" w:hAnsi="黑体" w:eastAsia="黑体" w:cs="黑体"/>
          <w:sz w:val="32"/>
          <w:szCs w:val="32"/>
          <w:u w:val="single"/>
        </w:rPr>
        <w:t xml:space="preserve"> </w:t>
      </w:r>
    </w:p>
    <w:p w14:paraId="72DB9FD5">
      <w:pPr>
        <w:spacing w:line="720" w:lineRule="auto"/>
        <w:ind w:firstLine="320" w:firstLineChars="100"/>
        <w:jc w:val="left"/>
        <w:rPr>
          <w:rFonts w:ascii="黑体" w:hAnsi="黑体" w:eastAsia="黑体" w:cs="黑体"/>
          <w:sz w:val="32"/>
          <w:szCs w:val="32"/>
          <w:u w:val="single"/>
        </w:rPr>
      </w:pPr>
      <w:r>
        <w:rPr>
          <w:rFonts w:hint="eastAsia" w:ascii="黑体" w:hAnsi="黑体" w:eastAsia="黑体" w:cs="黑体"/>
          <w:sz w:val="32"/>
          <w:szCs w:val="32"/>
        </w:rPr>
        <w:t>发包单位：</w:t>
      </w:r>
      <w:r>
        <w:rPr>
          <w:rStyle w:val="68"/>
          <w:rFonts w:hint="eastAsia" w:ascii="黑体" w:hAnsi="黑体" w:eastAsia="黑体" w:cs="黑体"/>
          <w:bCs/>
          <w:sz w:val="32"/>
          <w:szCs w:val="32"/>
          <w:u w:val="single"/>
        </w:rPr>
        <w:t xml:space="preserve"> </w:t>
      </w:r>
      <w:r>
        <w:rPr>
          <w:rFonts w:hint="eastAsia" w:ascii="黑体" w:hAnsi="黑体" w:eastAsia="黑体" w:cs="黑体"/>
          <w:sz w:val="32"/>
          <w:szCs w:val="32"/>
          <w:u w:val="single"/>
        </w:rPr>
        <w:t xml:space="preserve">                                       </w:t>
      </w:r>
    </w:p>
    <w:p w14:paraId="2F9664C6">
      <w:pPr>
        <w:spacing w:line="720" w:lineRule="auto"/>
        <w:ind w:firstLine="320" w:firstLineChars="100"/>
        <w:jc w:val="left"/>
        <w:rPr>
          <w:rFonts w:ascii="黑体" w:hAnsi="黑体" w:eastAsia="黑体" w:cs="黑体"/>
          <w:sz w:val="32"/>
          <w:szCs w:val="32"/>
          <w:u w:val="single"/>
        </w:rPr>
      </w:pPr>
      <w:r>
        <w:rPr>
          <w:rFonts w:hint="eastAsia" w:ascii="黑体" w:hAnsi="黑体" w:eastAsia="黑体" w:cs="黑体"/>
          <w:sz w:val="32"/>
          <w:szCs w:val="32"/>
        </w:rPr>
        <w:t>承包单位：</w:t>
      </w:r>
      <w:r>
        <w:rPr>
          <w:rFonts w:hint="eastAsia" w:ascii="黑体" w:hAnsi="黑体" w:eastAsia="黑体" w:cs="黑体"/>
          <w:sz w:val="32"/>
          <w:szCs w:val="32"/>
          <w:u w:val="single"/>
        </w:rPr>
        <w:t xml:space="preserve">                                        </w:t>
      </w:r>
    </w:p>
    <w:p w14:paraId="2BEFEFEB">
      <w:pPr>
        <w:spacing w:line="720" w:lineRule="auto"/>
        <w:ind w:firstLine="320" w:firstLineChars="100"/>
        <w:jc w:val="left"/>
        <w:rPr>
          <w:rFonts w:ascii="黑体" w:hAnsi="黑体" w:eastAsia="黑体" w:cs="黑体"/>
          <w:sz w:val="32"/>
          <w:szCs w:val="32"/>
          <w:u w:val="single"/>
        </w:rPr>
      </w:pPr>
      <w:r>
        <w:rPr>
          <w:rFonts w:hint="eastAsia" w:ascii="黑体" w:hAnsi="黑体" w:eastAsia="黑体" w:cs="黑体"/>
          <w:sz w:val="32"/>
          <w:szCs w:val="32"/>
        </w:rPr>
        <w:t>订立时间：</w:t>
      </w:r>
      <w:r>
        <w:rPr>
          <w:rFonts w:hint="eastAsia" w:ascii="黑体" w:hAnsi="黑体" w:eastAsia="黑体" w:cs="黑体"/>
          <w:sz w:val="32"/>
          <w:szCs w:val="32"/>
          <w:u w:val="single"/>
        </w:rPr>
        <w:t xml:space="preserve">                                        </w:t>
      </w:r>
    </w:p>
    <w:p w14:paraId="47BF5777">
      <w:pPr>
        <w:spacing w:line="720" w:lineRule="auto"/>
        <w:ind w:firstLine="320" w:firstLineChars="100"/>
        <w:jc w:val="left"/>
        <w:rPr>
          <w:rFonts w:ascii="黑体" w:hAnsi="黑体" w:eastAsia="黑体" w:cs="黑体"/>
          <w:b/>
          <w:bCs/>
          <w:sz w:val="36"/>
          <w:szCs w:val="36"/>
          <w:u w:val="single"/>
        </w:rPr>
      </w:pPr>
      <w:r>
        <w:rPr>
          <w:rFonts w:hint="eastAsia" w:ascii="黑体" w:hAnsi="黑体" w:eastAsia="黑体" w:cs="黑体"/>
          <w:sz w:val="32"/>
          <w:szCs w:val="32"/>
        </w:rPr>
        <w:t>签订地点：</w:t>
      </w:r>
      <w:r>
        <w:rPr>
          <w:rFonts w:hint="eastAsia" w:ascii="黑体" w:hAnsi="黑体" w:eastAsia="黑体" w:cs="黑体"/>
          <w:sz w:val="32"/>
          <w:szCs w:val="32"/>
          <w:u w:val="single"/>
        </w:rPr>
        <w:t xml:space="preserve">                                     </w:t>
      </w:r>
      <w:r>
        <w:rPr>
          <w:rFonts w:hint="eastAsia" w:ascii="黑体" w:hAnsi="黑体" w:eastAsia="黑体" w:cs="黑体"/>
          <w:sz w:val="36"/>
          <w:szCs w:val="36"/>
          <w:u w:val="single"/>
        </w:rPr>
        <w:t xml:space="preserve">  </w:t>
      </w:r>
    </w:p>
    <w:p w14:paraId="3C8FFDAB">
      <w:pPr>
        <w:jc w:val="center"/>
        <w:rPr>
          <w:rFonts w:ascii="仿宋_GB2312" w:hAnsi="宋体" w:eastAsia="仿宋_GB2312"/>
          <w:b/>
          <w:bCs/>
          <w:sz w:val="36"/>
          <w:szCs w:val="20"/>
        </w:rPr>
      </w:pPr>
    </w:p>
    <w:p w14:paraId="55B860C3">
      <w:pPr>
        <w:spacing w:line="560" w:lineRule="exact"/>
        <w:ind w:firstLine="2650" w:firstLineChars="600"/>
        <w:rPr>
          <w:rFonts w:hAnsi="宋体"/>
          <w:b/>
          <w:bCs/>
          <w:sz w:val="44"/>
          <w:szCs w:val="44"/>
        </w:rPr>
      </w:pPr>
    </w:p>
    <w:p w14:paraId="03143BB7">
      <w:pPr>
        <w:spacing w:line="560" w:lineRule="exact"/>
        <w:ind w:firstLine="2650" w:firstLineChars="600"/>
        <w:rPr>
          <w:rFonts w:hAnsi="宋体"/>
          <w:b/>
          <w:bCs/>
          <w:sz w:val="44"/>
          <w:szCs w:val="44"/>
        </w:rPr>
      </w:pPr>
    </w:p>
    <w:p w14:paraId="48190C58">
      <w:pPr>
        <w:spacing w:line="560" w:lineRule="exact"/>
        <w:ind w:firstLine="2650" w:firstLineChars="600"/>
        <w:rPr>
          <w:rFonts w:hAnsi="宋体"/>
          <w:b/>
          <w:bCs/>
          <w:sz w:val="44"/>
          <w:szCs w:val="44"/>
        </w:rPr>
      </w:pPr>
    </w:p>
    <w:p w14:paraId="1E58E1C8">
      <w:pPr>
        <w:spacing w:line="560" w:lineRule="exact"/>
        <w:ind w:firstLine="2650" w:firstLineChars="600"/>
        <w:rPr>
          <w:rFonts w:hAnsi="宋体"/>
          <w:b/>
          <w:bCs/>
          <w:sz w:val="44"/>
          <w:szCs w:val="44"/>
        </w:rPr>
      </w:pPr>
      <w:r>
        <w:rPr>
          <w:rFonts w:hint="eastAsia" w:hAnsi="宋体"/>
          <w:b/>
          <w:bCs/>
          <w:sz w:val="44"/>
          <w:szCs w:val="44"/>
        </w:rPr>
        <w:t>电力工程施工合同</w:t>
      </w:r>
    </w:p>
    <w:p w14:paraId="4C9853C6">
      <w:pPr>
        <w:spacing w:line="560" w:lineRule="exact"/>
        <w:jc w:val="center"/>
        <w:rPr>
          <w:rFonts w:hAnsi="宋体"/>
          <w:b/>
          <w:bCs/>
          <w:sz w:val="28"/>
          <w:szCs w:val="28"/>
        </w:rPr>
      </w:pPr>
    </w:p>
    <w:p w14:paraId="0AF61EA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发包人：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（以下简称甲方）</w:t>
      </w:r>
    </w:p>
    <w:p w14:paraId="22B6E50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承包人：</w:t>
      </w:r>
      <w:r>
        <w:rPr>
          <w:rFonts w:hint="eastAsia" w:ascii="仿宋_GB2312" w:hAnsi="仿宋" w:eastAsia="仿宋_GB2312"/>
          <w:sz w:val="32"/>
          <w:szCs w:val="32"/>
          <w:u w:val="single"/>
        </w:rPr>
        <w:t xml:space="preserve">                 </w:t>
      </w:r>
      <w:r>
        <w:rPr>
          <w:rFonts w:hint="eastAsia" w:ascii="仿宋_GB2312" w:hAnsi="仿宋_GB2312" w:eastAsia="仿宋_GB2312" w:cs="仿宋_GB2312"/>
          <w:sz w:val="32"/>
          <w:szCs w:val="32"/>
        </w:rPr>
        <w:t xml:space="preserve">  （以下简称乙方）</w:t>
      </w:r>
    </w:p>
    <w:p w14:paraId="177060D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保障“仙海城乡供水一体化建设项目取水10KV用电工程”建设项目顺利实施，需对该项目区域高压进行投放，依照《中华人民共和国民法典》等有关法律法规规定，结合本工程具体情况，经双方平等协商、达成一致协议，望双方共同遵守。</w:t>
      </w:r>
    </w:p>
    <w:p w14:paraId="57E85CC6">
      <w:pPr>
        <w:pStyle w:val="69"/>
        <w:numPr>
          <w:ilvl w:val="0"/>
          <w:numId w:val="5"/>
        </w:numPr>
        <w:spacing w:line="560" w:lineRule="exact"/>
        <w:ind w:firstLineChars="0"/>
        <w:jc w:val="center"/>
        <w:rPr>
          <w:rFonts w:hAnsi="宋体"/>
          <w:b/>
          <w:bCs/>
          <w:sz w:val="32"/>
          <w:szCs w:val="32"/>
        </w:rPr>
      </w:pPr>
      <w:r>
        <w:rPr>
          <w:rFonts w:hint="eastAsia" w:hAnsi="宋体"/>
          <w:b/>
          <w:bCs/>
          <w:sz w:val="32"/>
          <w:szCs w:val="32"/>
        </w:rPr>
        <w:t xml:space="preserve">  工程概况</w:t>
      </w:r>
    </w:p>
    <w:p w14:paraId="7CA48A8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工程概况</w:t>
      </w:r>
    </w:p>
    <w:p w14:paraId="54C18BA7">
      <w:pPr>
        <w:spacing w:line="560" w:lineRule="exact"/>
        <w:ind w:firstLine="729" w:firstLineChars="228"/>
        <w:rPr>
          <w:rFonts w:ascii="仿宋_GB2312" w:hAnsi="仿宋_GB2312" w:eastAsia="仿宋_GB2312" w:cs="仿宋_GB2312"/>
          <w:sz w:val="32"/>
          <w:szCs w:val="32"/>
          <w:u w:val="single"/>
          <w:lang w:val="en-GB"/>
        </w:rPr>
      </w:pPr>
      <w:r>
        <w:rPr>
          <w:rFonts w:hint="eastAsia" w:ascii="仿宋_GB2312" w:hAnsi="仿宋_GB2312" w:eastAsia="仿宋_GB2312" w:cs="仿宋_GB2312"/>
          <w:sz w:val="32"/>
          <w:szCs w:val="32"/>
        </w:rPr>
        <w:t>1.工程名称：</w:t>
      </w:r>
      <w:r>
        <w:rPr>
          <w:rFonts w:hint="eastAsia" w:ascii="仿宋_GB2312" w:hAnsi="仿宋_GB2312" w:eastAsia="仿宋_GB2312" w:cs="仿宋_GB2312"/>
          <w:sz w:val="32"/>
          <w:szCs w:val="32"/>
          <w:u w:val="single"/>
        </w:rPr>
        <w:t xml:space="preserve">仙海城乡供水一体化建设项目取水10KV用电工程 </w:t>
      </w:r>
      <w:r>
        <w:rPr>
          <w:rFonts w:hint="eastAsia" w:ascii="仿宋_GB2312" w:hAnsi="仿宋_GB2312" w:eastAsia="仿宋_GB2312" w:cs="仿宋_GB2312"/>
          <w:sz w:val="32"/>
          <w:szCs w:val="32"/>
          <w:u w:val="single"/>
          <w:lang w:val="en-GB"/>
        </w:rPr>
        <w:t>。</w:t>
      </w:r>
    </w:p>
    <w:p w14:paraId="1B4D23C4">
      <w:pPr>
        <w:spacing w:line="560" w:lineRule="exact"/>
        <w:ind w:firstLine="800" w:firstLineChars="2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2.工程地点：</w:t>
      </w:r>
      <w:r>
        <w:rPr>
          <w:rFonts w:hint="eastAsia" w:ascii="仿宋_GB2312" w:hAnsi="仿宋_GB2312" w:eastAsia="仿宋_GB2312" w:cs="仿宋_GB2312"/>
          <w:sz w:val="32"/>
          <w:szCs w:val="32"/>
          <w:u w:val="single"/>
        </w:rPr>
        <w:t>绵阳市仙海区 。</w:t>
      </w:r>
    </w:p>
    <w:p w14:paraId="340C6C7C">
      <w:pPr>
        <w:spacing w:line="560" w:lineRule="exact"/>
        <w:ind w:firstLine="800" w:firstLineChars="25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3.项目概况：</w:t>
      </w:r>
      <w:r>
        <w:rPr>
          <w:rFonts w:hint="eastAsia" w:ascii="仿宋_GB2312" w:hAnsi="仿宋_GB2312" w:eastAsia="仿宋_GB2312" w:cs="仿宋_GB2312"/>
          <w:sz w:val="32"/>
          <w:szCs w:val="32"/>
          <w:u w:val="single"/>
        </w:rPr>
        <w:t>新建高压电缆通道、敷设ZA-YJV22-8.7/10-3*185 220米;修建电缆井7口;安装箱变200KVA;电缆分支箱1台;新立15米电杆1根;安装隔离开关、避雷器各一组;真空开关、高压组合式互感器、计量箱各1台;安装电能表;负控装置;制作接地网及办理用电手续等。</w:t>
      </w:r>
    </w:p>
    <w:p w14:paraId="7EE62CCD">
      <w:pPr>
        <w:spacing w:line="560" w:lineRule="exact"/>
        <w:ind w:firstLine="800" w:firstLineChars="250"/>
        <w:jc w:val="left"/>
        <w:rPr>
          <w:rFonts w:ascii="仿宋_GB2312" w:hAnsi="仿宋_GB2312" w:eastAsia="仿宋_GB2312" w:cs="仿宋_GB2312"/>
          <w:sz w:val="32"/>
          <w:szCs w:val="32"/>
          <w:u w:val="single"/>
          <w:lang w:val="en-GB"/>
        </w:rPr>
      </w:pPr>
      <w:r>
        <w:rPr>
          <w:rFonts w:hint="eastAsia" w:ascii="仿宋_GB2312" w:hAnsi="仿宋_GB2312" w:eastAsia="仿宋_GB2312" w:cs="仿宋_GB2312"/>
          <w:sz w:val="32"/>
          <w:szCs w:val="32"/>
        </w:rPr>
        <w:t>4.主要工程内容：</w:t>
      </w:r>
      <w:r>
        <w:rPr>
          <w:rFonts w:hint="eastAsia" w:ascii="仿宋_GB2312" w:hAnsi="仿宋_GB2312" w:eastAsia="仿宋_GB2312" w:cs="仿宋_GB2312"/>
          <w:sz w:val="32"/>
          <w:szCs w:val="32"/>
          <w:u w:val="single"/>
        </w:rPr>
        <w:t>详见施工图纸及工程量</w:t>
      </w:r>
      <w:r>
        <w:rPr>
          <w:rFonts w:hint="eastAsia" w:ascii="仿宋_GB2312" w:hAnsi="仿宋_GB2312" w:eastAsia="仿宋_GB2312" w:cs="仿宋_GB2312"/>
          <w:sz w:val="32"/>
          <w:szCs w:val="32"/>
        </w:rPr>
        <w:t>清单</w:t>
      </w:r>
      <w:r>
        <w:rPr>
          <w:rFonts w:hint="eastAsia" w:ascii="仿宋_GB2312" w:hAnsi="仿宋_GB2312" w:eastAsia="仿宋_GB2312" w:cs="仿宋_GB2312"/>
          <w:sz w:val="32"/>
          <w:szCs w:val="32"/>
          <w:lang w:val="en-GB"/>
        </w:rPr>
        <w:t>。</w:t>
      </w:r>
      <w:r>
        <w:rPr>
          <w:rFonts w:hint="eastAsia" w:ascii="仿宋_GB2312" w:hAnsi="仿宋_GB2312" w:eastAsia="仿宋_GB2312" w:cs="仿宋_GB2312"/>
          <w:sz w:val="32"/>
          <w:szCs w:val="32"/>
        </w:rPr>
        <w:t>乙方应无条件执行甲方的进度计划安排（包括新调整的进度计划）。</w:t>
      </w:r>
    </w:p>
    <w:p w14:paraId="39C056D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工期</w:t>
      </w:r>
    </w:p>
    <w:p w14:paraId="5936BC0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 工期为</w:t>
      </w:r>
      <w:r>
        <w:rPr>
          <w:rFonts w:hint="eastAsia" w:ascii="仿宋_GB2312" w:hAnsi="仿宋_GB2312" w:eastAsia="仿宋_GB2312" w:cs="仿宋_GB2312"/>
          <w:sz w:val="32"/>
          <w:szCs w:val="32"/>
          <w:u w:val="single"/>
        </w:rPr>
        <w:t xml:space="preserve"> 30  </w:t>
      </w:r>
      <w:r>
        <w:rPr>
          <w:rFonts w:hint="eastAsia" w:ascii="仿宋_GB2312" w:hAnsi="仿宋_GB2312" w:eastAsia="仿宋_GB2312" w:cs="仿宋_GB2312"/>
          <w:sz w:val="32"/>
          <w:szCs w:val="32"/>
        </w:rPr>
        <w:t>日历天。计划开工时间：   年  月  日，计划竣工时间：  年  月  日。本合同工期原则不顺延，若因工程变化或设计变更、不可抗力确有必要延期的，乙方应在以上情况发生后3日内报甲方审核，甲方审核同意后予以顺延。</w:t>
      </w:r>
    </w:p>
    <w:p w14:paraId="31DFE8A2">
      <w:pPr>
        <w:pStyle w:val="3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 乙方承诺在本合同签订前已对本工程进行了现场踏勘工作，如遇节假日等，乙方应提前做好计划。如果因为人员不足、资金不足等问题导致工期滞后，甲方有权利另行安排设备及人员进场施工，除按本合同价计价外，相关抢工费用由乙方承担，若因乙方工期延误导致损失的，乙方承担全部赔偿责任，乙方不得提出异议。</w:t>
      </w:r>
    </w:p>
    <w:p w14:paraId="0EE2DDB0">
      <w:pPr>
        <w:pStyle w:val="32"/>
      </w:pPr>
    </w:p>
    <w:p w14:paraId="4627803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质量标准等级和安全文明施工要求</w:t>
      </w:r>
    </w:p>
    <w:p w14:paraId="38FF042F">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3.1 质量标准必须符合国家现行《电气装置安装工程施工验收规范》等。质量等级为</w:t>
      </w:r>
      <w:r>
        <w:rPr>
          <w:rFonts w:hint="eastAsia" w:ascii="仿宋_GB2312" w:hAnsi="仿宋_GB2312" w:eastAsia="仿宋_GB2312" w:cs="仿宋_GB2312"/>
          <w:sz w:val="32"/>
          <w:szCs w:val="32"/>
          <w:u w:val="single"/>
        </w:rPr>
        <w:t>合格</w:t>
      </w:r>
      <w:r>
        <w:rPr>
          <w:rFonts w:hint="eastAsia" w:ascii="仿宋_GB2312" w:hAnsi="仿宋_GB2312" w:eastAsia="仿宋_GB2312" w:cs="仿宋_GB2312"/>
          <w:sz w:val="32"/>
          <w:szCs w:val="32"/>
        </w:rPr>
        <w:t>。</w:t>
      </w:r>
    </w:p>
    <w:p w14:paraId="38D9F07D">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3.2安全文明施工要求：无事故。乙方必须按照国家现行有关安全法律法规、安全管理实施条例等组织施工，加强安全管理、杜绝违章停业、加强隐患排查，确保施工过程中安全。</w:t>
      </w:r>
    </w:p>
    <w:p w14:paraId="456072CC">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第四条 承包方式：</w:t>
      </w:r>
      <w:r>
        <w:rPr>
          <w:rFonts w:hint="eastAsia" w:ascii="仿宋_GB2312" w:hAnsi="仿宋_GB2312" w:eastAsia="仿宋_GB2312" w:cs="仿宋_GB2312"/>
          <w:sz w:val="32"/>
          <w:szCs w:val="32"/>
          <w:u w:val="single"/>
        </w:rPr>
        <w:t xml:space="preserve"> 固定单价合同，合同履行过程中不作任何调整。固定综合单价主要包括：包工包料、包工机具、包机械设备、包工期、包安全、包质量等各项费用。</w:t>
      </w:r>
    </w:p>
    <w:p w14:paraId="1C8B4916">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第五条 合同价款</w:t>
      </w:r>
    </w:p>
    <w:p w14:paraId="6B60F0E7">
      <w:pPr>
        <w:pStyle w:val="32"/>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合同暂定价款：¥    元（大写：   ）。含税，税率：  。本工程含税固定综合单价已包括所有施工相关费用以及相应风险费用，由于乙方现场勘查不充分造成测算等费用失误，由乙方自行承担。</w:t>
      </w:r>
    </w:p>
    <w:p w14:paraId="1212D6CB">
      <w:pPr>
        <w:spacing w:line="560" w:lineRule="exact"/>
        <w:ind w:firstLine="640" w:firstLineChars="200"/>
        <w:rPr>
          <w:rFonts w:hAnsi="宋体"/>
          <w:sz w:val="32"/>
          <w:szCs w:val="32"/>
        </w:rPr>
      </w:pPr>
      <w:r>
        <w:rPr>
          <w:rFonts w:hint="eastAsia" w:ascii="仿宋_GB2312" w:hAnsi="仿宋_GB2312" w:eastAsia="仿宋_GB2312" w:cs="仿宋_GB2312"/>
          <w:sz w:val="32"/>
          <w:szCs w:val="32"/>
        </w:rPr>
        <w:t>第六条 合同文件适用国家的法律、法规以及国家标准、规范和电力行业标准、规范。当合同文件出现含糊不清或不相一致时，在不影响工程进度的情况下，由双方协商解决。协商不成时，以最高效力的规定为准。</w:t>
      </w:r>
    </w:p>
    <w:p w14:paraId="24C2DBAA">
      <w:pPr>
        <w:spacing w:line="560" w:lineRule="exact"/>
        <w:ind w:left="2741"/>
        <w:rPr>
          <w:rFonts w:hAnsi="宋体"/>
          <w:b/>
          <w:bCs/>
          <w:sz w:val="32"/>
          <w:szCs w:val="32"/>
        </w:rPr>
      </w:pPr>
      <w:r>
        <w:rPr>
          <w:rFonts w:hint="eastAsia" w:hAnsi="宋体"/>
          <w:b/>
          <w:bCs/>
          <w:sz w:val="32"/>
          <w:szCs w:val="32"/>
        </w:rPr>
        <w:t>第二章  双方责任</w:t>
      </w:r>
    </w:p>
    <w:p w14:paraId="3B93621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甲方的责任</w:t>
      </w:r>
    </w:p>
    <w:p w14:paraId="7061027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w:t>
      </w:r>
      <w:r>
        <w:rPr>
          <w:rFonts w:hint="eastAsia" w:ascii="仿宋_GB2312" w:hAnsi="仿宋_GB2312" w:eastAsia="仿宋_GB2312" w:cs="仿宋_GB2312"/>
          <w:color w:val="000000"/>
          <w:sz w:val="32"/>
          <w:szCs w:val="32"/>
        </w:rPr>
        <w:t>甲方委派</w:t>
      </w:r>
      <w:r>
        <w:rPr>
          <w:rFonts w:hint="eastAsia" w:ascii="仿宋_GB2312" w:hAnsi="仿宋_GB2312" w:eastAsia="仿宋_GB2312" w:cs="仿宋_GB2312"/>
          <w:color w:val="000000"/>
          <w:sz w:val="32"/>
          <w:szCs w:val="32"/>
          <w:u w:val="single"/>
        </w:rPr>
        <w:t>向春梅</w:t>
      </w:r>
      <w:r>
        <w:rPr>
          <w:rFonts w:hint="eastAsia" w:ascii="仿宋_GB2312" w:hAnsi="仿宋_GB2312" w:eastAsia="仿宋_GB2312" w:cs="仿宋_GB2312"/>
          <w:sz w:val="32"/>
          <w:szCs w:val="32"/>
        </w:rPr>
        <w:t>为驻施工现场的代表，代表甲方全权处理工程事务。该代表的批准、答复均由其本人签字后，以书面形式交给乙方代表，乙方代表在回执上签名后生效。甲方如需另外委派代表，甲方应书面通知乙方，该代表应继续承担前任代表所签署文件的责任。甲方现场代表送交的通知等乙方未在规定期限答复的，视为乙方同意。</w:t>
      </w:r>
    </w:p>
    <w:p w14:paraId="35CAFB9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7.2甲方应在工程完工乙方自检合格后，及时组织验收。</w:t>
      </w:r>
    </w:p>
    <w:p w14:paraId="73AC061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7.3按照合同约定支付工程款项。</w:t>
      </w:r>
    </w:p>
    <w:p w14:paraId="6B1C989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7.4甲方应全力配合乙方施工，处理施工中存在的问题。</w:t>
      </w:r>
    </w:p>
    <w:p w14:paraId="4176BBA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乙方的责任</w:t>
      </w:r>
    </w:p>
    <w:p w14:paraId="5A4640E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8.1按设计和施工图要求组织施工，并承担相应的风险，如：清单项目工程量风险和措施费用风险等。</w:t>
      </w:r>
    </w:p>
    <w:p w14:paraId="7557942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8.3按工程需要设置施工使用的照明、围栏及警卫，并做好安全、防护设施的维修。乙方未履行上述义务造成工程、财产和人身伤害，由乙方承担责任。</w:t>
      </w:r>
    </w:p>
    <w:p w14:paraId="5E10DBE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8.4已竣工工程在交付甲方之前，由乙方负责保护工作，保护不善发生损坏，乙方自费予以修复。甲方提前使用或擅自动用后发生损坏或其它问题，由甲方承担责任。</w:t>
      </w:r>
    </w:p>
    <w:p w14:paraId="472627B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8.5乙方未按合同约定履行义务，承担由此造成的费用支出，赔偿甲方因此遭受的经济损失。</w:t>
      </w:r>
    </w:p>
    <w:p w14:paraId="449E14A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8.6乙方委派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同志（电话：    ；微信号：    ；电子邮箱;      联系地址：       。）为施工现场的代表，乙方的要求、申请和通知等，以书面形式由乙方代表签字后送交甲方代表，甲方代表在回执上签名后生效。乙方如需另外委派代表，应至少提前3个工作日书面通知甲方，否则因通知不及时引起的全部损失由乙方承担。该代表应继续承担前任代表所签署文件的责任。乙方住所地及上述联系人、联系地址为乙方准确有效的送达地址、电话。</w:t>
      </w:r>
    </w:p>
    <w:p w14:paraId="2D0636E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8.7 乙方施工代表在施工现场驻场不得少于28天，如离场需提前24小时向甲方项目负责人提交书面申请，取得甲方项目负责人同意后方可离场。</w:t>
      </w:r>
    </w:p>
    <w:p w14:paraId="3DA9712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8.8乙方及乙方人员在履行本合同过程中的等一切安全责任风险均由乙方自行负责，与甲方无关。</w:t>
      </w:r>
    </w:p>
    <w:p w14:paraId="21A11120">
      <w:pPr>
        <w:spacing w:line="560" w:lineRule="exact"/>
        <w:ind w:firstLine="640" w:firstLineChars="200"/>
        <w:rPr>
          <w:rFonts w:hAnsi="宋体"/>
          <w:sz w:val="32"/>
          <w:szCs w:val="32"/>
        </w:rPr>
      </w:pPr>
    </w:p>
    <w:p w14:paraId="1D8F6F38">
      <w:pPr>
        <w:spacing w:line="560" w:lineRule="exact"/>
        <w:ind w:left="2741"/>
        <w:rPr>
          <w:rFonts w:hAnsi="宋体"/>
          <w:b/>
          <w:bCs/>
          <w:sz w:val="32"/>
          <w:szCs w:val="32"/>
        </w:rPr>
      </w:pPr>
      <w:r>
        <w:rPr>
          <w:rFonts w:hint="eastAsia" w:hAnsi="宋体"/>
          <w:b/>
          <w:bCs/>
          <w:sz w:val="32"/>
          <w:szCs w:val="32"/>
        </w:rPr>
        <w:t>第三章工期延误和暂停</w:t>
      </w:r>
    </w:p>
    <w:p w14:paraId="289B038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延期开工。乙方应按合同约定确定开工日期、开工条件开始施工，因故不能如期开工的，应在约定的开工日期前2天，书面向甲方代表提出延期开工的理由和要求的通知。甲方代表应接到通知后的1天内作出答复。甲方代表书面通知不同意的，工期不予顺延。由于甲方原因不能如期开工，工期顺延应由甲方承担乙方的相关费用和损失。</w:t>
      </w:r>
    </w:p>
    <w:p w14:paraId="0101E79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暂停施工。甲方代表在确有必要时可要求乙方暂停施工并提出整改意见，乙方应按甲方代表的暂停要求停止施工，妥善保护已完工程。暂停施工的意见解决后才能继续施工。因甲方原因暂停施工，由甲方承担有关的费用，并且工期顺延；因乙方原因暂停施工，由乙方承担有关的费用。</w:t>
      </w:r>
    </w:p>
    <w:p w14:paraId="75F1B0B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对以下原因造成工期延误的，经甲方代表确认，工期相应顺延。</w:t>
      </w:r>
    </w:p>
    <w:p w14:paraId="214B66A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11.1工程变化或设计变更；</w:t>
      </w:r>
    </w:p>
    <w:p w14:paraId="2D8BE99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11.2合同中约定的、非乙方原因出现的或甲方代表同意给予顺延工期的其它情况；</w:t>
      </w:r>
    </w:p>
    <w:p w14:paraId="30C6A0D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11.3在乙方要求组织验收时，甲方推诿而不组织验收的；</w:t>
      </w:r>
    </w:p>
    <w:p w14:paraId="774BAA5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11.4不可抗力原因影响施工进度的。乙方在以上情况发生后3天内，需就延误的内容和因此发生的费用向甲方代表提出书面报告。</w:t>
      </w:r>
    </w:p>
    <w:p w14:paraId="58CE8C3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检查和返工。</w:t>
      </w:r>
    </w:p>
    <w:p w14:paraId="73A2544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乙方按相应的电力建设施工及验收技术规范、约定采用的标准、设计的要求施工，随时接受甲方代表及其委派人员的检查检验，为检查检验提供便利条件，由甲方原因引起返工、修改的，由甲方承担因返工、修改的费用，工期相应顺延。由乙方原因引起返工、修改的，由乙方在甲方指定时间内整改完毕并承担因返工、修改的费用，因此造成的损失由乙方全部承担。甲方的检查验收必须遵守乙方的安全管理规定，甲方违反乙方的安全管理规定造成的安全事故，由甲方负责赔偿。  </w:t>
      </w:r>
    </w:p>
    <w:p w14:paraId="46B974A1">
      <w:pPr>
        <w:spacing w:line="560" w:lineRule="exact"/>
        <w:ind w:firstLine="2249" w:firstLineChars="700"/>
        <w:rPr>
          <w:rFonts w:hAnsi="宋体"/>
          <w:b/>
          <w:bCs/>
          <w:sz w:val="32"/>
          <w:szCs w:val="32"/>
        </w:rPr>
      </w:pPr>
      <w:r>
        <w:rPr>
          <w:rFonts w:hint="eastAsia" w:hAnsi="宋体"/>
          <w:b/>
          <w:bCs/>
          <w:sz w:val="32"/>
          <w:szCs w:val="32"/>
        </w:rPr>
        <w:t>第四章   质量与验收</w:t>
      </w:r>
    </w:p>
    <w:p w14:paraId="55EE1CC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工程质量应符合设计规定、检查验收及评定标准的条件和合同约定的质量等级。如因乙方原因工程质量未达到要求，必须整改并验收合格达到国家标准、行业标准及甲方要求，交付甲方使用。否则除无条件整改直至达到设计和规范要求外尚应按照工程价款的</w:t>
      </w:r>
      <w:r>
        <w:rPr>
          <w:rFonts w:hint="eastAsia" w:ascii="仿宋_GB2312" w:hAnsi="仿宋_GB2312" w:eastAsia="仿宋_GB2312" w:cs="仿宋_GB2312"/>
          <w:sz w:val="32"/>
          <w:szCs w:val="32"/>
          <w:u w:val="single"/>
        </w:rPr>
        <w:t>5</w:t>
      </w:r>
      <w:r>
        <w:rPr>
          <w:rFonts w:hint="eastAsia" w:ascii="仿宋_GB2312" w:hAnsi="仿宋_GB2312" w:eastAsia="仿宋_GB2312" w:cs="仿宋_GB2312"/>
          <w:sz w:val="32"/>
          <w:szCs w:val="32"/>
        </w:rPr>
        <w:t>%支付违约金，违约金不足以弥补甲方损失的，乙方另行补足；</w:t>
      </w:r>
    </w:p>
    <w:p w14:paraId="07DB2F3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隐</w:t>
      </w:r>
      <w:r>
        <w:rPr>
          <w:rFonts w:hint="eastAsia" w:ascii="仿宋_GB2312" w:hAnsi="仿宋_GB2312" w:eastAsia="仿宋_GB2312" w:cs="仿宋_GB2312"/>
          <w:bCs/>
          <w:sz w:val="32"/>
          <w:szCs w:val="32"/>
        </w:rPr>
        <w:t>蔽工程和中间验收。具备覆盖、掩盖条件或达到约定的隐蔽、中间验收部位，乙方自检合格后在隐蔽或中间验收</w:t>
      </w:r>
      <w:r>
        <w:rPr>
          <w:rFonts w:hint="eastAsia" w:ascii="仿宋_GB2312" w:hAnsi="仿宋_GB2312" w:eastAsia="仿宋_GB2312" w:cs="仿宋_GB2312"/>
          <w:bCs/>
          <w:sz w:val="32"/>
          <w:szCs w:val="32"/>
          <w:u w:val="single"/>
        </w:rPr>
        <w:t>48</w:t>
      </w:r>
      <w:r>
        <w:rPr>
          <w:rFonts w:hint="eastAsia" w:ascii="仿宋_GB2312" w:hAnsi="仿宋_GB2312" w:eastAsia="仿宋_GB2312" w:cs="仿宋_GB2312"/>
          <w:bCs/>
          <w:sz w:val="32"/>
          <w:szCs w:val="32"/>
        </w:rPr>
        <w:t>小时前通知甲方代表及有关单位验收，并准备验收记录（</w:t>
      </w:r>
      <w:r>
        <w:rPr>
          <w:rFonts w:hint="eastAsia" w:ascii="仿宋_GB2312" w:hAnsi="仿宋_GB2312" w:eastAsia="仿宋_GB2312" w:cs="仿宋_GB2312"/>
          <w:bCs/>
          <w:sz w:val="32"/>
          <w:szCs w:val="32"/>
          <w:lang w:val="zh-CN"/>
        </w:rPr>
        <w:t>通知包括乙方自检记录、隐蔽和中间验收的内容、验收时间和地点</w:t>
      </w:r>
      <w:r>
        <w:rPr>
          <w:rFonts w:hint="eastAsia" w:ascii="仿宋_GB2312" w:hAnsi="仿宋_GB2312" w:eastAsia="仿宋_GB2312" w:cs="仿宋_GB2312"/>
          <w:bCs/>
          <w:sz w:val="32"/>
          <w:szCs w:val="32"/>
        </w:rPr>
        <w:t>）。验收合格，甲方代表及有关人员在验收记录上签字后，方可进行隐蔽和继续施工。验收不合格，乙方在限定时间内修改后重新验收。</w:t>
      </w:r>
    </w:p>
    <w:p w14:paraId="122BBE15">
      <w:pPr>
        <w:spacing w:line="560" w:lineRule="exact"/>
        <w:ind w:firstLine="640" w:firstLineChars="200"/>
        <w:rPr>
          <w:rFonts w:hAnsi="宋体"/>
          <w:b/>
          <w:bCs/>
          <w:sz w:val="32"/>
          <w:szCs w:val="32"/>
        </w:rPr>
      </w:pPr>
      <w:r>
        <w:rPr>
          <w:rFonts w:hint="eastAsia" w:ascii="仿宋_GB2312" w:hAnsi="仿宋_GB2312" w:eastAsia="仿宋_GB2312" w:cs="仿宋_GB2312"/>
          <w:sz w:val="32"/>
          <w:szCs w:val="32"/>
        </w:rPr>
        <w:t>第十五条  工程完工，乙方组织电力部门专项验收，并完成供电系统异动手续，完成办理全部用电手续，达到“交钥匙工程”条件后，向甲方提交“竣工验收申请”。甲方在收到申请后在乙方协助下</w:t>
      </w:r>
      <w:r>
        <w:rPr>
          <w:rFonts w:hint="eastAsia" w:ascii="仿宋_GB2312" w:hAnsi="仿宋_GB2312" w:eastAsia="仿宋_GB2312" w:cs="仿宋_GB2312"/>
          <w:sz w:val="32"/>
          <w:szCs w:val="32"/>
          <w:u w:val="single"/>
        </w:rPr>
        <w:t xml:space="preserve"> 7  </w:t>
      </w:r>
      <w:r>
        <w:rPr>
          <w:rFonts w:hint="eastAsia" w:ascii="仿宋_GB2312" w:hAnsi="仿宋_GB2312" w:eastAsia="仿宋_GB2312" w:cs="仿宋_GB2312"/>
          <w:sz w:val="32"/>
          <w:szCs w:val="32"/>
        </w:rPr>
        <w:t>天内组织有关部门进行验收。</w:t>
      </w:r>
    </w:p>
    <w:p w14:paraId="257FEF96">
      <w:pPr>
        <w:spacing w:line="560" w:lineRule="exact"/>
        <w:ind w:firstLine="2249" w:firstLineChars="700"/>
        <w:rPr>
          <w:rFonts w:ascii="仿宋_GB2312" w:hAnsi="仿宋_GB2312" w:eastAsia="仿宋_GB2312" w:cs="仿宋_GB2312"/>
          <w:sz w:val="32"/>
          <w:szCs w:val="32"/>
        </w:rPr>
      </w:pPr>
      <w:r>
        <w:rPr>
          <w:rFonts w:hint="eastAsia" w:hAnsi="宋体"/>
          <w:b/>
          <w:bCs/>
          <w:sz w:val="32"/>
          <w:szCs w:val="32"/>
        </w:rPr>
        <w:t>第五章  合同价款的调整与支付</w:t>
      </w:r>
    </w:p>
    <w:p w14:paraId="57BFA36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当符合以下条件时应对合同价款进行调整：</w:t>
      </w:r>
    </w:p>
    <w:p w14:paraId="7AE0576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16.1甲方代表确认的工程量增减；</w:t>
      </w:r>
    </w:p>
    <w:p w14:paraId="3FCC2AA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16.2甲方代表确认的设计变更；</w:t>
      </w:r>
    </w:p>
    <w:p w14:paraId="6784AB4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16.3合同约定的其它增减或调整。</w:t>
      </w:r>
    </w:p>
    <w:p w14:paraId="7BC990B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结算方式：以经双方验收合格的实际完成工程量，乙方中标单价，按清单计价方式进行结算。</w:t>
      </w:r>
    </w:p>
    <w:p w14:paraId="3F7CD16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工程款的支付：</w:t>
      </w:r>
    </w:p>
    <w:p w14:paraId="74902C34">
      <w:pPr>
        <w:pStyle w:val="61"/>
        <w:spacing w:line="360" w:lineRule="auto"/>
        <w:ind w:firstLine="640" w:firstLineChars="200"/>
        <w:jc w:val="both"/>
        <w:rPr>
          <w:rFonts w:ascii="仿宋_GB2312" w:hAnsi="仿宋_GB2312" w:eastAsia="仿宋_GB2312" w:cs="仿宋_GB2312"/>
          <w:snapToGrid/>
          <w:kern w:val="0"/>
          <w:sz w:val="32"/>
          <w:szCs w:val="32"/>
        </w:rPr>
      </w:pPr>
      <w:r>
        <w:rPr>
          <w:rFonts w:hint="eastAsia" w:ascii="仿宋_GB2312" w:hAnsi="仿宋_GB2312" w:eastAsia="仿宋_GB2312" w:cs="仿宋_GB2312"/>
          <w:snapToGrid/>
          <w:kern w:val="0"/>
          <w:sz w:val="32"/>
          <w:szCs w:val="32"/>
        </w:rPr>
        <w:t>18.1项目工程竣工验收合格后60日内支付合同暂定金额的80%；竣工结算审计完成后30个工作日内：当承包人选择除直接从工程结算价款中扣留质保金之外的其它方式缴纳质保金时，支付至审定金额的100%；当承包人选择从工程结算价款中直接扣留质保金时，支付至审定金额的97%，剩余的3%作为质保金扣留；缺陷责任期(24个月)满且复检合格后，30个工作日内无息退还。</w:t>
      </w:r>
    </w:p>
    <w:p w14:paraId="58555EF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第十九条 付款时乙方需开具合法有效的增值税发票。乙方逾期开票或开具发票不符合规范的，甲方有权拒绝付款且不承担任何责任。  </w:t>
      </w:r>
    </w:p>
    <w:p w14:paraId="5110AAD2">
      <w:pPr>
        <w:spacing w:line="560" w:lineRule="exact"/>
        <w:ind w:left="2741"/>
        <w:rPr>
          <w:rFonts w:hAnsi="宋体"/>
          <w:b/>
          <w:sz w:val="32"/>
          <w:szCs w:val="32"/>
        </w:rPr>
      </w:pPr>
      <w:r>
        <w:rPr>
          <w:rFonts w:hint="eastAsia" w:hAnsi="宋体"/>
          <w:b/>
          <w:sz w:val="32"/>
          <w:szCs w:val="32"/>
        </w:rPr>
        <w:t>第六章  违约责任</w:t>
      </w:r>
    </w:p>
    <w:p w14:paraId="0120628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因乙方原因逾期竣工交付的，每延期一天，向甲方支付合同总金额1%的违约金。如给甲方造成的损失超过违约金的，乙方还应赔偿甲方损失超过违约金的部分。乙方逾期超过竣工交付7日，除按前述标准支付违约金外，甲方有权解除本合同。</w:t>
      </w:r>
    </w:p>
    <w:p w14:paraId="543AD8F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 乙方竣工后经验收不合格的，乙方应在甲方通知的时间内整改，否则，在整改逾期期间由乙方按本合同总金额的1%/日向甲方支付违约金，如给甲方造成的损失超过违约金的，乙方还应赔偿甲方损失超过违约金的部分。乙方逾期完成整改超过7日，除按前述标准支付违约金外，甲方有权解除本合同。</w:t>
      </w:r>
    </w:p>
    <w:p w14:paraId="48C5955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因乙方原因造成的质量事故，材料、重作、返修、返工等一切损失均由乙方承担，并向甲方赔偿损失。</w:t>
      </w:r>
    </w:p>
    <w:p w14:paraId="136EB0C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 乙方将本合同项下的作业内容转包或再分包给他人的，应向甲方支付合同总金额30%的违约金，并应赔偿甲方因此所造成的损失，且甲方有权解除合同。</w:t>
      </w:r>
    </w:p>
    <w:p w14:paraId="45B625C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第二十四条 乙方在保修期不及时履行保修责任，甲方有权指定第三方修理，费用由乙方承担，并从质保金中扣除，质保金不够扣除的，甲方可向乙方追索。</w:t>
      </w:r>
    </w:p>
    <w:p w14:paraId="0C6EB48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 乙方应遵守本合同，非因不可抗力而单方面终止本合同的，将赔偿因违约给甲方造成的全部损失，并向甲方支付本合同总额30%的违约金。</w:t>
      </w:r>
    </w:p>
    <w:p w14:paraId="5598B1B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第二十六条 本协议下乙方应向甲方支付的违约金、赔偿金、处罚金等，甲方有权在应付未付款项中扣除，不足部分由乙方补足。协议约定乙方应付甲方违约金或赔偿金不足以弥补甲方损失的，乙方应当另行补足；协议所称甲方的损失，包括但不限于甲方的直接损失、预期可得利益的损失、乙方违约后甲方主张债权发生的诉讼费、保全费、诉讼财产保全责任保险费、公证费、律师费、差旅费、调查取证费。</w:t>
      </w:r>
    </w:p>
    <w:p w14:paraId="1AB2E4C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第二十七条  甲方未按照合同约定支付工程款的，且延期30日以上时。甲方以应支付款额及实际延期天数按中国人民银行一年期同期贷款利率计算的利息承担违约责任。</w:t>
      </w:r>
    </w:p>
    <w:p w14:paraId="2723B05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第二十八条  违约给对方造成的损失超过违</w:t>
      </w:r>
      <w:r>
        <w:rPr>
          <w:rFonts w:hint="eastAsia" w:ascii="仿宋_GB2312" w:hAnsi="仿宋_GB2312" w:eastAsia="仿宋_GB2312" w:cs="仿宋_GB2312"/>
          <w:sz w:val="32"/>
          <w:szCs w:val="32"/>
        </w:rPr>
        <w:t>约金的，还应付给赔偿金，补偿违约金不足的部分。违约金、赔偿金应在双方明确违约责任后10天内偿付。</w:t>
      </w:r>
    </w:p>
    <w:p w14:paraId="263C636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第二十九条  </w:t>
      </w:r>
      <w:r>
        <w:rPr>
          <w:rFonts w:hint="eastAsia" w:ascii="仿宋_GB2312" w:hAnsi="仿宋_GB2312" w:eastAsia="仿宋_GB2312" w:cs="仿宋_GB2312"/>
          <w:sz w:val="32"/>
          <w:szCs w:val="32"/>
        </w:rPr>
        <w:t>除非合同解除或终止，否则违约方承担违约责任仍应继续履行合同。</w:t>
      </w:r>
    </w:p>
    <w:p w14:paraId="0321D04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第三十条  </w:t>
      </w:r>
      <w:r>
        <w:rPr>
          <w:rFonts w:hint="eastAsia" w:ascii="仿宋_GB2312" w:hAnsi="仿宋_GB2312" w:eastAsia="仿宋_GB2312" w:cs="仿宋_GB2312"/>
          <w:sz w:val="32"/>
          <w:szCs w:val="32"/>
        </w:rPr>
        <w:t>因变更或解除合同使一方遭受经济损失的，除依法可以免除责任的以外，应由责任方负责赔偿。</w:t>
      </w:r>
    </w:p>
    <w:p w14:paraId="3C1A1996">
      <w:pPr>
        <w:spacing w:line="560" w:lineRule="exact"/>
        <w:ind w:left="2741"/>
        <w:rPr>
          <w:rFonts w:hAnsi="宋体"/>
          <w:b/>
          <w:sz w:val="32"/>
          <w:szCs w:val="32"/>
        </w:rPr>
      </w:pPr>
      <w:r>
        <w:rPr>
          <w:rFonts w:hint="eastAsia" w:hAnsi="宋体"/>
          <w:b/>
          <w:sz w:val="32"/>
          <w:szCs w:val="32"/>
        </w:rPr>
        <w:t>第七章  安全责任</w:t>
      </w:r>
    </w:p>
    <w:p w14:paraId="58DC2B7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第三十一条  乙方应严格执行国家及电力行业建设安全施工管理的有关规定，认真采取安全防护措施严防事故，服从甲方和相关部门的安全监督管理，该工程在施工过程中乙方若违反规定造成安全事故或乙方其他自身原因造成的安全事故，其一切经济损失和法律责任均由乙方承担,因此给甲方造成损失的，乙方应承担全部赔偿责任。</w:t>
      </w:r>
    </w:p>
    <w:p w14:paraId="65730A5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第三十二条 施工期间，乙方所属人员、材料设备及施工过程的安全由乙方负全责</w:t>
      </w:r>
      <w:r>
        <w:rPr>
          <w:rFonts w:hint="eastAsia" w:ascii="仿宋_GB2312" w:hAnsi="仿宋_GB2312" w:eastAsia="仿宋_GB2312" w:cs="仿宋_GB2312"/>
          <w:szCs w:val="24"/>
        </w:rPr>
        <w:t>，</w:t>
      </w:r>
      <w:r>
        <w:rPr>
          <w:rFonts w:hint="eastAsia" w:ascii="仿宋_GB2312" w:hAnsi="仿宋_GB2312" w:eastAsia="仿宋_GB2312" w:cs="仿宋_GB2312"/>
          <w:sz w:val="32"/>
          <w:szCs w:val="32"/>
        </w:rPr>
        <w:t>如果甲方因此被第三方要求承担了责任，有权向乙方要求赔偿已付责任金额及自赔偿支付之日起按LPR两倍的资金占用费，并要求乙方支付甲方为解决相关纠纷而支出的律师费。</w:t>
      </w:r>
    </w:p>
    <w:p w14:paraId="6236F085">
      <w:pPr>
        <w:spacing w:line="560" w:lineRule="exact"/>
        <w:ind w:firstLine="640" w:firstLineChars="200"/>
        <w:rPr>
          <w:rFonts w:hAnsi="宋体"/>
          <w:sz w:val="32"/>
          <w:szCs w:val="32"/>
        </w:rPr>
      </w:pPr>
      <w:r>
        <w:rPr>
          <w:rFonts w:hint="eastAsia" w:ascii="仿宋_GB2312" w:hAnsi="仿宋_GB2312" w:eastAsia="仿宋_GB2312" w:cs="仿宋_GB2312"/>
          <w:sz w:val="32"/>
          <w:szCs w:val="32"/>
        </w:rPr>
        <w:t>第三十三条 乙方应服从甲方的检查管理，并及时采取措施消除安全隐患，否则甲方有权要求乙方暂停施工，直至安全隐患全部消除，由此产生的损失由乙方承担。</w:t>
      </w:r>
    </w:p>
    <w:p w14:paraId="73EFE13F">
      <w:pPr>
        <w:spacing w:line="560" w:lineRule="exact"/>
        <w:ind w:firstLine="3213" w:firstLineChars="1000"/>
        <w:rPr>
          <w:rFonts w:hAnsi="宋体"/>
          <w:b/>
          <w:sz w:val="32"/>
          <w:szCs w:val="32"/>
        </w:rPr>
      </w:pPr>
      <w:r>
        <w:rPr>
          <w:rFonts w:hint="eastAsia" w:hAnsi="宋体"/>
          <w:b/>
          <w:sz w:val="32"/>
          <w:szCs w:val="32"/>
        </w:rPr>
        <w:t>第八章  其 它</w:t>
      </w:r>
    </w:p>
    <w:p w14:paraId="7FC2EDF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第三十四条  甲、乙双方对履行合同有异议，可通过协商解决，协商不成时，任何一方可向甲方所在地有管辖权法院提起诉讼。</w:t>
      </w:r>
    </w:p>
    <w:p w14:paraId="70D9946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第三十五条  合同生效与终止。本合同经双方法定代表人或授权代理人签字单位盖公章后生效，合同义务履行完毕后即告终止。</w:t>
      </w:r>
    </w:p>
    <w:p w14:paraId="004EAF5F">
      <w:pPr>
        <w:spacing w:line="560" w:lineRule="exact"/>
        <w:ind w:firstLine="640" w:firstLineChars="200"/>
        <w:rPr>
          <w:rFonts w:hAnsi="宋体"/>
          <w:sz w:val="32"/>
          <w:szCs w:val="32"/>
        </w:rPr>
      </w:pPr>
      <w:r>
        <w:rPr>
          <w:rFonts w:hint="eastAsia" w:ascii="仿宋_GB2312" w:hAnsi="仿宋_GB2312" w:eastAsia="仿宋_GB2312" w:cs="仿宋_GB2312"/>
          <w:sz w:val="32"/>
          <w:szCs w:val="32"/>
        </w:rPr>
        <w:t xml:space="preserve">第三十六条  </w:t>
      </w:r>
      <w:r>
        <w:rPr>
          <w:rFonts w:hint="eastAsia" w:ascii="仿宋_GB2312" w:hAnsi="仿宋_GB2312" w:eastAsia="仿宋_GB2312" w:cs="仿宋_GB2312"/>
          <w:color w:val="000000"/>
          <w:sz w:val="32"/>
          <w:szCs w:val="32"/>
        </w:rPr>
        <w:t>本合同一式六份，甲乙双方各执三份，具有同等法律效力。</w:t>
      </w:r>
    </w:p>
    <w:p w14:paraId="12AA6C7A">
      <w:pPr>
        <w:spacing w:line="560" w:lineRule="exact"/>
        <w:ind w:firstLine="640" w:firstLineChars="200"/>
        <w:rPr>
          <w:rFonts w:ascii="仿宋_GB2312" w:hAnsi="仿宋_GB2312" w:eastAsia="仿宋_GB2312" w:cs="仿宋_GB2312"/>
          <w:color w:val="000000"/>
          <w:sz w:val="32"/>
          <w:szCs w:val="32"/>
        </w:rPr>
      </w:pPr>
    </w:p>
    <w:p w14:paraId="3D39F0B7">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发包人： （章）                   承包人：（章）                   </w:t>
      </w:r>
    </w:p>
    <w:p w14:paraId="17B237E1">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法定代表人(或)：                  法定代表人(或)： </w:t>
      </w:r>
    </w:p>
    <w:p w14:paraId="231D6771">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委托代理人：                      委托代理人：</w:t>
      </w:r>
    </w:p>
    <w:p w14:paraId="0181D6EE">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开户名称：                        开户名称：</w:t>
      </w:r>
    </w:p>
    <w:p w14:paraId="3BC0EF11">
      <w:pPr>
        <w:spacing w:line="560" w:lineRule="exact"/>
        <w:rPr>
          <w:rFonts w:ascii="仿宋_GB2312" w:eastAsia="仿宋_GB2312"/>
          <w:sz w:val="32"/>
          <w:szCs w:val="32"/>
        </w:rPr>
      </w:pPr>
      <w:r>
        <w:rPr>
          <w:rFonts w:hint="eastAsia" w:ascii="仿宋_GB2312" w:hAnsi="仿宋_GB2312" w:eastAsia="仿宋_GB2312" w:cs="仿宋_GB2312"/>
          <w:color w:val="000000"/>
          <w:sz w:val="32"/>
          <w:szCs w:val="32"/>
        </w:rPr>
        <w:t>开户行：                          开户行：</w:t>
      </w:r>
      <w:r>
        <w:rPr>
          <w:rFonts w:hint="eastAsia" w:ascii="仿宋_GB2312" w:eastAsia="仿宋_GB2312"/>
          <w:sz w:val="32"/>
          <w:szCs w:val="32"/>
        </w:rPr>
        <w:t xml:space="preserve"> </w:t>
      </w:r>
    </w:p>
    <w:p w14:paraId="40B241B2">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帐  号：                          帐  号：</w:t>
      </w:r>
    </w:p>
    <w:p w14:paraId="39472F40">
      <w:pPr>
        <w:spacing w:line="560" w:lineRule="exact"/>
        <w:ind w:firstLine="640" w:firstLineChars="200"/>
        <w:rPr>
          <w:rFonts w:ascii="仿宋_GB2312" w:hAnsi="仿宋_GB2312" w:eastAsia="仿宋_GB2312" w:cs="仿宋_GB2312"/>
          <w:color w:val="000000"/>
          <w:sz w:val="32"/>
          <w:szCs w:val="32"/>
        </w:rPr>
      </w:pPr>
    </w:p>
    <w:p w14:paraId="38177F49">
      <w:pPr>
        <w:tabs>
          <w:tab w:val="left" w:pos="9900"/>
        </w:tabs>
        <w:spacing w:line="360" w:lineRule="auto"/>
        <w:ind w:right="2" w:rightChars="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2024年 月 日             </w:t>
      </w:r>
    </w:p>
    <w:p w14:paraId="520F4984">
      <w:pPr>
        <w:spacing w:line="440" w:lineRule="exact"/>
        <w:ind w:firstLine="480" w:firstLineChars="200"/>
      </w:pPr>
    </w:p>
    <w:sectPr>
      <w:footerReference r:id="rId5"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B3863">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EB6E0">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D4C4D">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C582D"/>
    <w:multiLevelType w:val="singleLevel"/>
    <w:tmpl w:val="8A7C582D"/>
    <w:lvl w:ilvl="0" w:tentative="0">
      <w:start w:val="1"/>
      <w:numFmt w:val="chineseCounting"/>
      <w:suff w:val="nothing"/>
      <w:lvlText w:val="%1、"/>
      <w:lvlJc w:val="left"/>
      <w:rPr>
        <w:rFonts w:hint="eastAsia"/>
      </w:rPr>
    </w:lvl>
  </w:abstractNum>
  <w:abstractNum w:abstractNumId="1">
    <w:nsid w:val="F1560AD2"/>
    <w:multiLevelType w:val="singleLevel"/>
    <w:tmpl w:val="F1560AD2"/>
    <w:lvl w:ilvl="0" w:tentative="0">
      <w:start w:val="5"/>
      <w:numFmt w:val="chineseCounting"/>
      <w:suff w:val="nothing"/>
      <w:lvlText w:val="（%1）"/>
      <w:lvlJc w:val="left"/>
      <w:rPr>
        <w:rFonts w:hint="eastAsia"/>
      </w:rPr>
    </w:lvl>
  </w:abstractNum>
  <w:abstractNum w:abstractNumId="2">
    <w:nsid w:val="1BD7A716"/>
    <w:multiLevelType w:val="singleLevel"/>
    <w:tmpl w:val="1BD7A716"/>
    <w:lvl w:ilvl="0" w:tentative="0">
      <w:start w:val="4"/>
      <w:numFmt w:val="chineseCounting"/>
      <w:suff w:val="space"/>
      <w:lvlText w:val="第%1章"/>
      <w:lvlJc w:val="left"/>
      <w:rPr>
        <w:rFonts w:hint="eastAsia"/>
      </w:rPr>
    </w:lvl>
  </w:abstractNum>
  <w:abstractNum w:abstractNumId="3">
    <w:nsid w:val="5EDE26FC"/>
    <w:multiLevelType w:val="singleLevel"/>
    <w:tmpl w:val="5EDE26FC"/>
    <w:lvl w:ilvl="0" w:tentative="0">
      <w:start w:val="1"/>
      <w:numFmt w:val="decimal"/>
      <w:suff w:val="nothing"/>
      <w:lvlText w:val="（%1）"/>
      <w:lvlJc w:val="left"/>
    </w:lvl>
  </w:abstractNum>
  <w:abstractNum w:abstractNumId="4">
    <w:nsid w:val="6E8705BF"/>
    <w:multiLevelType w:val="multilevel"/>
    <w:tmpl w:val="6E8705BF"/>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YmU1MjdjOTYyNDE2NTIwMTQxOTQ0NjQyYWY4OWUifQ=="/>
  </w:docVars>
  <w:rsids>
    <w:rsidRoot w:val="0F6830A0"/>
    <w:rsid w:val="00002855"/>
    <w:rsid w:val="00003553"/>
    <w:rsid w:val="000052D6"/>
    <w:rsid w:val="000148FB"/>
    <w:rsid w:val="00021972"/>
    <w:rsid w:val="00021BAC"/>
    <w:rsid w:val="00023905"/>
    <w:rsid w:val="000242AF"/>
    <w:rsid w:val="000263EE"/>
    <w:rsid w:val="00041561"/>
    <w:rsid w:val="00046024"/>
    <w:rsid w:val="00053D63"/>
    <w:rsid w:val="00061967"/>
    <w:rsid w:val="000828A7"/>
    <w:rsid w:val="0009766F"/>
    <w:rsid w:val="000A0CFE"/>
    <w:rsid w:val="000A316C"/>
    <w:rsid w:val="000A519C"/>
    <w:rsid w:val="000A72AC"/>
    <w:rsid w:val="000B1FC9"/>
    <w:rsid w:val="000C2314"/>
    <w:rsid w:val="000C4F65"/>
    <w:rsid w:val="000D2708"/>
    <w:rsid w:val="000D2EF4"/>
    <w:rsid w:val="000E5C85"/>
    <w:rsid w:val="000E7066"/>
    <w:rsid w:val="000E74E5"/>
    <w:rsid w:val="000F49F4"/>
    <w:rsid w:val="001008B9"/>
    <w:rsid w:val="001031D6"/>
    <w:rsid w:val="001053B5"/>
    <w:rsid w:val="001105E9"/>
    <w:rsid w:val="00112188"/>
    <w:rsid w:val="001132B6"/>
    <w:rsid w:val="001154D5"/>
    <w:rsid w:val="00115920"/>
    <w:rsid w:val="00116077"/>
    <w:rsid w:val="001161C9"/>
    <w:rsid w:val="00122014"/>
    <w:rsid w:val="00122F44"/>
    <w:rsid w:val="00125267"/>
    <w:rsid w:val="00125F54"/>
    <w:rsid w:val="00126EA3"/>
    <w:rsid w:val="001313AE"/>
    <w:rsid w:val="001319A2"/>
    <w:rsid w:val="00133E5A"/>
    <w:rsid w:val="00134C0F"/>
    <w:rsid w:val="00137DB1"/>
    <w:rsid w:val="00142ECD"/>
    <w:rsid w:val="00146D3E"/>
    <w:rsid w:val="00151281"/>
    <w:rsid w:val="00153453"/>
    <w:rsid w:val="00155959"/>
    <w:rsid w:val="001570F2"/>
    <w:rsid w:val="00160353"/>
    <w:rsid w:val="00161001"/>
    <w:rsid w:val="00162B75"/>
    <w:rsid w:val="00163930"/>
    <w:rsid w:val="00165EDF"/>
    <w:rsid w:val="00174145"/>
    <w:rsid w:val="00174618"/>
    <w:rsid w:val="00177E21"/>
    <w:rsid w:val="00182BDD"/>
    <w:rsid w:val="0018478D"/>
    <w:rsid w:val="00184CDB"/>
    <w:rsid w:val="0018644B"/>
    <w:rsid w:val="001943CE"/>
    <w:rsid w:val="001950B6"/>
    <w:rsid w:val="00196F78"/>
    <w:rsid w:val="001A1ACF"/>
    <w:rsid w:val="001A43F7"/>
    <w:rsid w:val="001B55F9"/>
    <w:rsid w:val="001B740D"/>
    <w:rsid w:val="001B765C"/>
    <w:rsid w:val="001D144B"/>
    <w:rsid w:val="001D2642"/>
    <w:rsid w:val="001D2823"/>
    <w:rsid w:val="001E1000"/>
    <w:rsid w:val="001E2A34"/>
    <w:rsid w:val="001E7B6D"/>
    <w:rsid w:val="001F3161"/>
    <w:rsid w:val="001F3DAC"/>
    <w:rsid w:val="002006D5"/>
    <w:rsid w:val="002011A0"/>
    <w:rsid w:val="00211493"/>
    <w:rsid w:val="00213E18"/>
    <w:rsid w:val="0021699B"/>
    <w:rsid w:val="0022057C"/>
    <w:rsid w:val="00221B85"/>
    <w:rsid w:val="0023294A"/>
    <w:rsid w:val="002348A7"/>
    <w:rsid w:val="002405B7"/>
    <w:rsid w:val="0024255C"/>
    <w:rsid w:val="00244754"/>
    <w:rsid w:val="00244DE2"/>
    <w:rsid w:val="00247051"/>
    <w:rsid w:val="00247B0E"/>
    <w:rsid w:val="00255F75"/>
    <w:rsid w:val="00262F75"/>
    <w:rsid w:val="002639E3"/>
    <w:rsid w:val="00267066"/>
    <w:rsid w:val="00267290"/>
    <w:rsid w:val="002816BD"/>
    <w:rsid w:val="00287668"/>
    <w:rsid w:val="00293600"/>
    <w:rsid w:val="0029489E"/>
    <w:rsid w:val="00295BCC"/>
    <w:rsid w:val="002A162C"/>
    <w:rsid w:val="002A1FBD"/>
    <w:rsid w:val="002A7486"/>
    <w:rsid w:val="002B14DE"/>
    <w:rsid w:val="002B27AE"/>
    <w:rsid w:val="002B654C"/>
    <w:rsid w:val="002C6C19"/>
    <w:rsid w:val="002D0FE1"/>
    <w:rsid w:val="002D3272"/>
    <w:rsid w:val="002D5052"/>
    <w:rsid w:val="002E0DCC"/>
    <w:rsid w:val="002E188A"/>
    <w:rsid w:val="002E3F9B"/>
    <w:rsid w:val="002E4A8A"/>
    <w:rsid w:val="002F77FC"/>
    <w:rsid w:val="0030095D"/>
    <w:rsid w:val="0030374D"/>
    <w:rsid w:val="003109EF"/>
    <w:rsid w:val="00315B33"/>
    <w:rsid w:val="00320639"/>
    <w:rsid w:val="003207C2"/>
    <w:rsid w:val="00322204"/>
    <w:rsid w:val="0032418D"/>
    <w:rsid w:val="0032714E"/>
    <w:rsid w:val="00327AC2"/>
    <w:rsid w:val="00331688"/>
    <w:rsid w:val="00333C64"/>
    <w:rsid w:val="00341D64"/>
    <w:rsid w:val="00352BF7"/>
    <w:rsid w:val="00353078"/>
    <w:rsid w:val="003538CB"/>
    <w:rsid w:val="00354054"/>
    <w:rsid w:val="00355596"/>
    <w:rsid w:val="003606FF"/>
    <w:rsid w:val="0036102E"/>
    <w:rsid w:val="0036121A"/>
    <w:rsid w:val="00361874"/>
    <w:rsid w:val="00365E3E"/>
    <w:rsid w:val="0037591A"/>
    <w:rsid w:val="003770D5"/>
    <w:rsid w:val="003773BA"/>
    <w:rsid w:val="003871E7"/>
    <w:rsid w:val="00392C88"/>
    <w:rsid w:val="00396F7D"/>
    <w:rsid w:val="003A4639"/>
    <w:rsid w:val="003B242A"/>
    <w:rsid w:val="003B3A67"/>
    <w:rsid w:val="003B46EA"/>
    <w:rsid w:val="003B53DD"/>
    <w:rsid w:val="003B7948"/>
    <w:rsid w:val="003C075E"/>
    <w:rsid w:val="003C170C"/>
    <w:rsid w:val="003D1288"/>
    <w:rsid w:val="003D55A2"/>
    <w:rsid w:val="003D71F1"/>
    <w:rsid w:val="003D772F"/>
    <w:rsid w:val="003E1841"/>
    <w:rsid w:val="003E3117"/>
    <w:rsid w:val="003E3231"/>
    <w:rsid w:val="003E6DD7"/>
    <w:rsid w:val="003F0F47"/>
    <w:rsid w:val="003F169E"/>
    <w:rsid w:val="00411189"/>
    <w:rsid w:val="00411EB8"/>
    <w:rsid w:val="0041455C"/>
    <w:rsid w:val="00420E9B"/>
    <w:rsid w:val="00421E75"/>
    <w:rsid w:val="004241DF"/>
    <w:rsid w:val="0042615B"/>
    <w:rsid w:val="00434756"/>
    <w:rsid w:val="004413EA"/>
    <w:rsid w:val="004420CD"/>
    <w:rsid w:val="004528C2"/>
    <w:rsid w:val="00465A5B"/>
    <w:rsid w:val="00467252"/>
    <w:rsid w:val="004723CB"/>
    <w:rsid w:val="00477C47"/>
    <w:rsid w:val="0048029C"/>
    <w:rsid w:val="0048226D"/>
    <w:rsid w:val="00490ABD"/>
    <w:rsid w:val="00493378"/>
    <w:rsid w:val="00493AA4"/>
    <w:rsid w:val="0049429B"/>
    <w:rsid w:val="00496F27"/>
    <w:rsid w:val="00497608"/>
    <w:rsid w:val="004A32FB"/>
    <w:rsid w:val="004B03BC"/>
    <w:rsid w:val="004B52AB"/>
    <w:rsid w:val="004B714C"/>
    <w:rsid w:val="004C67B3"/>
    <w:rsid w:val="004C73CB"/>
    <w:rsid w:val="004D5505"/>
    <w:rsid w:val="004E7A81"/>
    <w:rsid w:val="004F0081"/>
    <w:rsid w:val="0050144B"/>
    <w:rsid w:val="00503D22"/>
    <w:rsid w:val="00511F95"/>
    <w:rsid w:val="00523487"/>
    <w:rsid w:val="00525C6F"/>
    <w:rsid w:val="0052719A"/>
    <w:rsid w:val="005315D0"/>
    <w:rsid w:val="0054254D"/>
    <w:rsid w:val="005439B4"/>
    <w:rsid w:val="005540D0"/>
    <w:rsid w:val="0056392F"/>
    <w:rsid w:val="0056604C"/>
    <w:rsid w:val="00566BD3"/>
    <w:rsid w:val="005734BE"/>
    <w:rsid w:val="005755D8"/>
    <w:rsid w:val="0057724D"/>
    <w:rsid w:val="00581940"/>
    <w:rsid w:val="00582EA7"/>
    <w:rsid w:val="00594DA0"/>
    <w:rsid w:val="005958A8"/>
    <w:rsid w:val="005963AD"/>
    <w:rsid w:val="0059670E"/>
    <w:rsid w:val="00597853"/>
    <w:rsid w:val="005A0796"/>
    <w:rsid w:val="005A53DE"/>
    <w:rsid w:val="005B43E1"/>
    <w:rsid w:val="005B7BEE"/>
    <w:rsid w:val="005C3365"/>
    <w:rsid w:val="005C486A"/>
    <w:rsid w:val="005D4294"/>
    <w:rsid w:val="005E1CCB"/>
    <w:rsid w:val="005E3421"/>
    <w:rsid w:val="005F2D8B"/>
    <w:rsid w:val="005F3059"/>
    <w:rsid w:val="005F3C2B"/>
    <w:rsid w:val="005F6A8D"/>
    <w:rsid w:val="00603DB7"/>
    <w:rsid w:val="00607702"/>
    <w:rsid w:val="006111D0"/>
    <w:rsid w:val="00612893"/>
    <w:rsid w:val="00613B54"/>
    <w:rsid w:val="006162E8"/>
    <w:rsid w:val="0062571D"/>
    <w:rsid w:val="00630F8A"/>
    <w:rsid w:val="00636259"/>
    <w:rsid w:val="006402E0"/>
    <w:rsid w:val="006442A5"/>
    <w:rsid w:val="00652DE7"/>
    <w:rsid w:val="00653685"/>
    <w:rsid w:val="0067512B"/>
    <w:rsid w:val="0068126D"/>
    <w:rsid w:val="0068253B"/>
    <w:rsid w:val="00683E6C"/>
    <w:rsid w:val="00684B1A"/>
    <w:rsid w:val="00685FAB"/>
    <w:rsid w:val="00690306"/>
    <w:rsid w:val="0069129E"/>
    <w:rsid w:val="006A6883"/>
    <w:rsid w:val="006B46B8"/>
    <w:rsid w:val="006C44BB"/>
    <w:rsid w:val="006C6986"/>
    <w:rsid w:val="006D40DC"/>
    <w:rsid w:val="006D52B7"/>
    <w:rsid w:val="006D5FB4"/>
    <w:rsid w:val="006E16A1"/>
    <w:rsid w:val="006F067A"/>
    <w:rsid w:val="006F1E1F"/>
    <w:rsid w:val="007009D2"/>
    <w:rsid w:val="007035DF"/>
    <w:rsid w:val="00706382"/>
    <w:rsid w:val="0071567C"/>
    <w:rsid w:val="00716682"/>
    <w:rsid w:val="00717A50"/>
    <w:rsid w:val="007214FE"/>
    <w:rsid w:val="00722072"/>
    <w:rsid w:val="00722DA3"/>
    <w:rsid w:val="00723665"/>
    <w:rsid w:val="00723C66"/>
    <w:rsid w:val="00723F6D"/>
    <w:rsid w:val="007315EC"/>
    <w:rsid w:val="007332F2"/>
    <w:rsid w:val="0075700E"/>
    <w:rsid w:val="007624FE"/>
    <w:rsid w:val="00763269"/>
    <w:rsid w:val="00763386"/>
    <w:rsid w:val="00765643"/>
    <w:rsid w:val="00765E18"/>
    <w:rsid w:val="00766C92"/>
    <w:rsid w:val="00771820"/>
    <w:rsid w:val="00772071"/>
    <w:rsid w:val="0077251B"/>
    <w:rsid w:val="007726B5"/>
    <w:rsid w:val="00772C3E"/>
    <w:rsid w:val="00781B7B"/>
    <w:rsid w:val="0079203D"/>
    <w:rsid w:val="0079418D"/>
    <w:rsid w:val="0079476A"/>
    <w:rsid w:val="007B359A"/>
    <w:rsid w:val="007B46BE"/>
    <w:rsid w:val="007B5EC5"/>
    <w:rsid w:val="007C116C"/>
    <w:rsid w:val="007C3B4F"/>
    <w:rsid w:val="007C7631"/>
    <w:rsid w:val="007D1C50"/>
    <w:rsid w:val="007D6496"/>
    <w:rsid w:val="007E1F24"/>
    <w:rsid w:val="007E6C7B"/>
    <w:rsid w:val="007F023D"/>
    <w:rsid w:val="007F6434"/>
    <w:rsid w:val="007F72AA"/>
    <w:rsid w:val="00801B76"/>
    <w:rsid w:val="00806056"/>
    <w:rsid w:val="00813B40"/>
    <w:rsid w:val="00813D03"/>
    <w:rsid w:val="00817B86"/>
    <w:rsid w:val="00821888"/>
    <w:rsid w:val="00822B62"/>
    <w:rsid w:val="00823A53"/>
    <w:rsid w:val="00824B5F"/>
    <w:rsid w:val="00831962"/>
    <w:rsid w:val="00843183"/>
    <w:rsid w:val="00843701"/>
    <w:rsid w:val="008452BE"/>
    <w:rsid w:val="00846513"/>
    <w:rsid w:val="00854BF9"/>
    <w:rsid w:val="0085641C"/>
    <w:rsid w:val="00866C6B"/>
    <w:rsid w:val="008710E8"/>
    <w:rsid w:val="008713E1"/>
    <w:rsid w:val="00872D0D"/>
    <w:rsid w:val="00875FA4"/>
    <w:rsid w:val="00876E00"/>
    <w:rsid w:val="00887C9B"/>
    <w:rsid w:val="00892DDD"/>
    <w:rsid w:val="0089592C"/>
    <w:rsid w:val="00895A98"/>
    <w:rsid w:val="0089612A"/>
    <w:rsid w:val="008B0C5B"/>
    <w:rsid w:val="008B1E1F"/>
    <w:rsid w:val="008B2345"/>
    <w:rsid w:val="008B7257"/>
    <w:rsid w:val="008C3AF8"/>
    <w:rsid w:val="008C3DB4"/>
    <w:rsid w:val="008C527A"/>
    <w:rsid w:val="008C6A4E"/>
    <w:rsid w:val="008C6D43"/>
    <w:rsid w:val="008C7FDA"/>
    <w:rsid w:val="008D10EA"/>
    <w:rsid w:val="008D690D"/>
    <w:rsid w:val="008D7876"/>
    <w:rsid w:val="008D7C0D"/>
    <w:rsid w:val="008E1F5E"/>
    <w:rsid w:val="008E2CAA"/>
    <w:rsid w:val="00906873"/>
    <w:rsid w:val="00914147"/>
    <w:rsid w:val="0091634B"/>
    <w:rsid w:val="00921001"/>
    <w:rsid w:val="009231D3"/>
    <w:rsid w:val="00925E33"/>
    <w:rsid w:val="009278E7"/>
    <w:rsid w:val="009428A1"/>
    <w:rsid w:val="009430AF"/>
    <w:rsid w:val="00944454"/>
    <w:rsid w:val="00946FA1"/>
    <w:rsid w:val="0095379B"/>
    <w:rsid w:val="009706C7"/>
    <w:rsid w:val="00975ABB"/>
    <w:rsid w:val="00976553"/>
    <w:rsid w:val="009772BF"/>
    <w:rsid w:val="00977A13"/>
    <w:rsid w:val="00977B1C"/>
    <w:rsid w:val="009A40D0"/>
    <w:rsid w:val="009A4CEE"/>
    <w:rsid w:val="009B6881"/>
    <w:rsid w:val="009C3452"/>
    <w:rsid w:val="009C4F0B"/>
    <w:rsid w:val="009C7FD6"/>
    <w:rsid w:val="009D2A1F"/>
    <w:rsid w:val="009E4914"/>
    <w:rsid w:val="009F2E0E"/>
    <w:rsid w:val="009F6B7C"/>
    <w:rsid w:val="009F6ED2"/>
    <w:rsid w:val="00A07758"/>
    <w:rsid w:val="00A15834"/>
    <w:rsid w:val="00A20246"/>
    <w:rsid w:val="00A23344"/>
    <w:rsid w:val="00A254F1"/>
    <w:rsid w:val="00A33B6A"/>
    <w:rsid w:val="00A3477E"/>
    <w:rsid w:val="00A5019C"/>
    <w:rsid w:val="00A60FF1"/>
    <w:rsid w:val="00A61020"/>
    <w:rsid w:val="00A62E08"/>
    <w:rsid w:val="00A66B58"/>
    <w:rsid w:val="00A72F0D"/>
    <w:rsid w:val="00A75DF6"/>
    <w:rsid w:val="00A76B7C"/>
    <w:rsid w:val="00A77BF8"/>
    <w:rsid w:val="00A859EB"/>
    <w:rsid w:val="00A957A5"/>
    <w:rsid w:val="00AA125C"/>
    <w:rsid w:val="00AB5109"/>
    <w:rsid w:val="00AC2844"/>
    <w:rsid w:val="00AD4C6B"/>
    <w:rsid w:val="00AD4DA5"/>
    <w:rsid w:val="00AE0481"/>
    <w:rsid w:val="00AE21EF"/>
    <w:rsid w:val="00AE30B0"/>
    <w:rsid w:val="00AE3F4E"/>
    <w:rsid w:val="00AE6803"/>
    <w:rsid w:val="00AF03F7"/>
    <w:rsid w:val="00AF1DC4"/>
    <w:rsid w:val="00AF6598"/>
    <w:rsid w:val="00AF6E92"/>
    <w:rsid w:val="00B01EE4"/>
    <w:rsid w:val="00B13966"/>
    <w:rsid w:val="00B17B57"/>
    <w:rsid w:val="00B223B8"/>
    <w:rsid w:val="00B30F27"/>
    <w:rsid w:val="00B33B81"/>
    <w:rsid w:val="00B36D8D"/>
    <w:rsid w:val="00B425CC"/>
    <w:rsid w:val="00B440C8"/>
    <w:rsid w:val="00B46A1F"/>
    <w:rsid w:val="00B54900"/>
    <w:rsid w:val="00B62594"/>
    <w:rsid w:val="00B63808"/>
    <w:rsid w:val="00B63B92"/>
    <w:rsid w:val="00B6641C"/>
    <w:rsid w:val="00B66749"/>
    <w:rsid w:val="00B66AD5"/>
    <w:rsid w:val="00B67148"/>
    <w:rsid w:val="00B671D7"/>
    <w:rsid w:val="00B71448"/>
    <w:rsid w:val="00B73A09"/>
    <w:rsid w:val="00B7477F"/>
    <w:rsid w:val="00B8096D"/>
    <w:rsid w:val="00B84E57"/>
    <w:rsid w:val="00B86A0F"/>
    <w:rsid w:val="00B96AEF"/>
    <w:rsid w:val="00BA234B"/>
    <w:rsid w:val="00BA5970"/>
    <w:rsid w:val="00BB0735"/>
    <w:rsid w:val="00BB1CBE"/>
    <w:rsid w:val="00BB3671"/>
    <w:rsid w:val="00BB43F4"/>
    <w:rsid w:val="00BB5C94"/>
    <w:rsid w:val="00BB5E4F"/>
    <w:rsid w:val="00BC2712"/>
    <w:rsid w:val="00BC75D0"/>
    <w:rsid w:val="00BE1CFF"/>
    <w:rsid w:val="00BE42DD"/>
    <w:rsid w:val="00BE76CF"/>
    <w:rsid w:val="00BF0F1D"/>
    <w:rsid w:val="00C130D5"/>
    <w:rsid w:val="00C14531"/>
    <w:rsid w:val="00C359E2"/>
    <w:rsid w:val="00C36248"/>
    <w:rsid w:val="00C4167B"/>
    <w:rsid w:val="00C41DBC"/>
    <w:rsid w:val="00C433E5"/>
    <w:rsid w:val="00C4559F"/>
    <w:rsid w:val="00C541EC"/>
    <w:rsid w:val="00C54A14"/>
    <w:rsid w:val="00C54FA0"/>
    <w:rsid w:val="00C60D35"/>
    <w:rsid w:val="00C61DAF"/>
    <w:rsid w:val="00C6590F"/>
    <w:rsid w:val="00C7011F"/>
    <w:rsid w:val="00C70EF1"/>
    <w:rsid w:val="00C74A12"/>
    <w:rsid w:val="00C86BB0"/>
    <w:rsid w:val="00C9192A"/>
    <w:rsid w:val="00C9325B"/>
    <w:rsid w:val="00CA295A"/>
    <w:rsid w:val="00CA70C3"/>
    <w:rsid w:val="00CB00E4"/>
    <w:rsid w:val="00CB30BC"/>
    <w:rsid w:val="00CC4660"/>
    <w:rsid w:val="00CC4900"/>
    <w:rsid w:val="00CC5BF4"/>
    <w:rsid w:val="00CD1067"/>
    <w:rsid w:val="00CD2360"/>
    <w:rsid w:val="00CD6E42"/>
    <w:rsid w:val="00CF0087"/>
    <w:rsid w:val="00CF1B5D"/>
    <w:rsid w:val="00CF216D"/>
    <w:rsid w:val="00CF4386"/>
    <w:rsid w:val="00CF6410"/>
    <w:rsid w:val="00CF7735"/>
    <w:rsid w:val="00D0485D"/>
    <w:rsid w:val="00D07795"/>
    <w:rsid w:val="00D10D60"/>
    <w:rsid w:val="00D156DA"/>
    <w:rsid w:val="00D20E05"/>
    <w:rsid w:val="00D23D84"/>
    <w:rsid w:val="00D2445F"/>
    <w:rsid w:val="00D32EA3"/>
    <w:rsid w:val="00D34D69"/>
    <w:rsid w:val="00D352D6"/>
    <w:rsid w:val="00D37911"/>
    <w:rsid w:val="00D412B8"/>
    <w:rsid w:val="00D41657"/>
    <w:rsid w:val="00D41D9E"/>
    <w:rsid w:val="00D4312C"/>
    <w:rsid w:val="00D505A7"/>
    <w:rsid w:val="00D52313"/>
    <w:rsid w:val="00D55531"/>
    <w:rsid w:val="00D6251B"/>
    <w:rsid w:val="00D7390E"/>
    <w:rsid w:val="00D76F2D"/>
    <w:rsid w:val="00D80431"/>
    <w:rsid w:val="00D92137"/>
    <w:rsid w:val="00D93E9B"/>
    <w:rsid w:val="00D97A43"/>
    <w:rsid w:val="00D97C98"/>
    <w:rsid w:val="00DA0E2F"/>
    <w:rsid w:val="00DA3DE5"/>
    <w:rsid w:val="00DA3FE7"/>
    <w:rsid w:val="00DA7CEB"/>
    <w:rsid w:val="00DB4F7E"/>
    <w:rsid w:val="00DB50A5"/>
    <w:rsid w:val="00DB6B36"/>
    <w:rsid w:val="00DC0B2B"/>
    <w:rsid w:val="00DD3FE0"/>
    <w:rsid w:val="00DE076E"/>
    <w:rsid w:val="00DE5293"/>
    <w:rsid w:val="00DE747F"/>
    <w:rsid w:val="00DF0128"/>
    <w:rsid w:val="00DF16E0"/>
    <w:rsid w:val="00DF548B"/>
    <w:rsid w:val="00DF5CCA"/>
    <w:rsid w:val="00E03D87"/>
    <w:rsid w:val="00E07031"/>
    <w:rsid w:val="00E07129"/>
    <w:rsid w:val="00E079F5"/>
    <w:rsid w:val="00E1109E"/>
    <w:rsid w:val="00E12AA8"/>
    <w:rsid w:val="00E16DBA"/>
    <w:rsid w:val="00E2110F"/>
    <w:rsid w:val="00E21487"/>
    <w:rsid w:val="00E2484A"/>
    <w:rsid w:val="00E32EE9"/>
    <w:rsid w:val="00E35792"/>
    <w:rsid w:val="00E42BF1"/>
    <w:rsid w:val="00E44901"/>
    <w:rsid w:val="00E4627A"/>
    <w:rsid w:val="00E50B3B"/>
    <w:rsid w:val="00E50DA8"/>
    <w:rsid w:val="00E51F4C"/>
    <w:rsid w:val="00E5680A"/>
    <w:rsid w:val="00E63401"/>
    <w:rsid w:val="00E63503"/>
    <w:rsid w:val="00E84C2C"/>
    <w:rsid w:val="00E85430"/>
    <w:rsid w:val="00E920C3"/>
    <w:rsid w:val="00E94DFC"/>
    <w:rsid w:val="00E970C4"/>
    <w:rsid w:val="00EA1594"/>
    <w:rsid w:val="00EA5C05"/>
    <w:rsid w:val="00EA62F0"/>
    <w:rsid w:val="00EB047A"/>
    <w:rsid w:val="00EC3B6B"/>
    <w:rsid w:val="00EC77D0"/>
    <w:rsid w:val="00ED0E13"/>
    <w:rsid w:val="00ED36A3"/>
    <w:rsid w:val="00ED3894"/>
    <w:rsid w:val="00ED3CCB"/>
    <w:rsid w:val="00ED7C27"/>
    <w:rsid w:val="00EE35B0"/>
    <w:rsid w:val="00EE4784"/>
    <w:rsid w:val="00EE5098"/>
    <w:rsid w:val="00EF51F6"/>
    <w:rsid w:val="00EF6352"/>
    <w:rsid w:val="00F04E5E"/>
    <w:rsid w:val="00F07F72"/>
    <w:rsid w:val="00F1315E"/>
    <w:rsid w:val="00F16888"/>
    <w:rsid w:val="00F20707"/>
    <w:rsid w:val="00F2253A"/>
    <w:rsid w:val="00F241B7"/>
    <w:rsid w:val="00F256C5"/>
    <w:rsid w:val="00F2772A"/>
    <w:rsid w:val="00F30E3E"/>
    <w:rsid w:val="00F40EF5"/>
    <w:rsid w:val="00F446CA"/>
    <w:rsid w:val="00F45548"/>
    <w:rsid w:val="00F46EDA"/>
    <w:rsid w:val="00F52057"/>
    <w:rsid w:val="00F551A0"/>
    <w:rsid w:val="00F601F8"/>
    <w:rsid w:val="00F619AE"/>
    <w:rsid w:val="00F66845"/>
    <w:rsid w:val="00F66CB2"/>
    <w:rsid w:val="00F732D9"/>
    <w:rsid w:val="00F74005"/>
    <w:rsid w:val="00F74595"/>
    <w:rsid w:val="00F7542D"/>
    <w:rsid w:val="00F90AC5"/>
    <w:rsid w:val="00F91472"/>
    <w:rsid w:val="00F9302D"/>
    <w:rsid w:val="00F95F14"/>
    <w:rsid w:val="00FA2E51"/>
    <w:rsid w:val="00FA4170"/>
    <w:rsid w:val="00FA7AA5"/>
    <w:rsid w:val="00FB3D49"/>
    <w:rsid w:val="00FB48AB"/>
    <w:rsid w:val="00FC0565"/>
    <w:rsid w:val="00FC0976"/>
    <w:rsid w:val="00FC6173"/>
    <w:rsid w:val="00FC6CE8"/>
    <w:rsid w:val="00FD0F0D"/>
    <w:rsid w:val="00FD1A08"/>
    <w:rsid w:val="00FD5C3B"/>
    <w:rsid w:val="00FE19EB"/>
    <w:rsid w:val="00FE291C"/>
    <w:rsid w:val="00FF1472"/>
    <w:rsid w:val="00FF1784"/>
    <w:rsid w:val="00FF4FDC"/>
    <w:rsid w:val="00FF5BB4"/>
    <w:rsid w:val="0209479C"/>
    <w:rsid w:val="02385CF1"/>
    <w:rsid w:val="028B0A19"/>
    <w:rsid w:val="03546191"/>
    <w:rsid w:val="03597303"/>
    <w:rsid w:val="03865C95"/>
    <w:rsid w:val="039D0B54"/>
    <w:rsid w:val="03E47CA3"/>
    <w:rsid w:val="04D23811"/>
    <w:rsid w:val="064F78D5"/>
    <w:rsid w:val="069F5B87"/>
    <w:rsid w:val="072440CC"/>
    <w:rsid w:val="07391925"/>
    <w:rsid w:val="086C1827"/>
    <w:rsid w:val="08A234FA"/>
    <w:rsid w:val="09E65607"/>
    <w:rsid w:val="0A8C4462"/>
    <w:rsid w:val="0AE918B4"/>
    <w:rsid w:val="0B401DD6"/>
    <w:rsid w:val="0C5D6EE8"/>
    <w:rsid w:val="0C605414"/>
    <w:rsid w:val="0CB33CA7"/>
    <w:rsid w:val="0E030CCC"/>
    <w:rsid w:val="0E06277D"/>
    <w:rsid w:val="0E2826F4"/>
    <w:rsid w:val="0F6830A0"/>
    <w:rsid w:val="0F6B6D3C"/>
    <w:rsid w:val="104D6442"/>
    <w:rsid w:val="10E675D1"/>
    <w:rsid w:val="11F71AA1"/>
    <w:rsid w:val="12331667"/>
    <w:rsid w:val="128A74D9"/>
    <w:rsid w:val="12E617FA"/>
    <w:rsid w:val="139D3C46"/>
    <w:rsid w:val="13F35616"/>
    <w:rsid w:val="14560FF5"/>
    <w:rsid w:val="15B14B3C"/>
    <w:rsid w:val="160E21CF"/>
    <w:rsid w:val="16612C47"/>
    <w:rsid w:val="178169D1"/>
    <w:rsid w:val="178A1D29"/>
    <w:rsid w:val="187C78C4"/>
    <w:rsid w:val="19AF3CC9"/>
    <w:rsid w:val="19B17A41"/>
    <w:rsid w:val="19CB3F93"/>
    <w:rsid w:val="19FB2A6A"/>
    <w:rsid w:val="1A352420"/>
    <w:rsid w:val="1A8743B2"/>
    <w:rsid w:val="1A9533CA"/>
    <w:rsid w:val="1AB772D9"/>
    <w:rsid w:val="1B31575F"/>
    <w:rsid w:val="1B5C39DD"/>
    <w:rsid w:val="1B9B2F78"/>
    <w:rsid w:val="1BC0349E"/>
    <w:rsid w:val="1C0361CE"/>
    <w:rsid w:val="1D4B1F5B"/>
    <w:rsid w:val="1D627543"/>
    <w:rsid w:val="1E163811"/>
    <w:rsid w:val="1EB853CE"/>
    <w:rsid w:val="1EB85536"/>
    <w:rsid w:val="1F2A22AF"/>
    <w:rsid w:val="1FC252A5"/>
    <w:rsid w:val="20116517"/>
    <w:rsid w:val="202D7F0F"/>
    <w:rsid w:val="20320465"/>
    <w:rsid w:val="208A4B48"/>
    <w:rsid w:val="21A41C3A"/>
    <w:rsid w:val="231177A3"/>
    <w:rsid w:val="239175CF"/>
    <w:rsid w:val="24784D8B"/>
    <w:rsid w:val="24B14D99"/>
    <w:rsid w:val="2641214D"/>
    <w:rsid w:val="27CB43C4"/>
    <w:rsid w:val="27E7447A"/>
    <w:rsid w:val="2826784C"/>
    <w:rsid w:val="28CC00D6"/>
    <w:rsid w:val="29C4731D"/>
    <w:rsid w:val="29D46E34"/>
    <w:rsid w:val="29F35E3C"/>
    <w:rsid w:val="2A7B46B0"/>
    <w:rsid w:val="2AAF65D8"/>
    <w:rsid w:val="2AE01F34"/>
    <w:rsid w:val="2B545BC4"/>
    <w:rsid w:val="2B735A8E"/>
    <w:rsid w:val="2BAA3066"/>
    <w:rsid w:val="2BF11F1F"/>
    <w:rsid w:val="2CA13945"/>
    <w:rsid w:val="2D8172D3"/>
    <w:rsid w:val="2E144088"/>
    <w:rsid w:val="2E6E4C70"/>
    <w:rsid w:val="2F5E78CC"/>
    <w:rsid w:val="2F611C21"/>
    <w:rsid w:val="2F9E23BE"/>
    <w:rsid w:val="301A6FF7"/>
    <w:rsid w:val="306A22A0"/>
    <w:rsid w:val="30E42053"/>
    <w:rsid w:val="31C0661C"/>
    <w:rsid w:val="326964DA"/>
    <w:rsid w:val="327B0795"/>
    <w:rsid w:val="33FC2B08"/>
    <w:rsid w:val="341E5E27"/>
    <w:rsid w:val="34D04DC8"/>
    <w:rsid w:val="37EE37B7"/>
    <w:rsid w:val="380C389A"/>
    <w:rsid w:val="38327B47"/>
    <w:rsid w:val="38561A88"/>
    <w:rsid w:val="395F4A2E"/>
    <w:rsid w:val="3A4D6EBA"/>
    <w:rsid w:val="3B02403B"/>
    <w:rsid w:val="3B0A1C29"/>
    <w:rsid w:val="3C666012"/>
    <w:rsid w:val="3CA71F78"/>
    <w:rsid w:val="3CD276B5"/>
    <w:rsid w:val="3CD644C4"/>
    <w:rsid w:val="3EA01CAF"/>
    <w:rsid w:val="3EC05EAD"/>
    <w:rsid w:val="3EFA343F"/>
    <w:rsid w:val="40BC6B48"/>
    <w:rsid w:val="41B810BD"/>
    <w:rsid w:val="422E7CA9"/>
    <w:rsid w:val="423975C1"/>
    <w:rsid w:val="427F5525"/>
    <w:rsid w:val="4290203A"/>
    <w:rsid w:val="42B53B52"/>
    <w:rsid w:val="42DA32B5"/>
    <w:rsid w:val="42E83C24"/>
    <w:rsid w:val="4312646A"/>
    <w:rsid w:val="437C6E2C"/>
    <w:rsid w:val="439E42E3"/>
    <w:rsid w:val="44091B8D"/>
    <w:rsid w:val="44214CB1"/>
    <w:rsid w:val="4468465E"/>
    <w:rsid w:val="44AC2A30"/>
    <w:rsid w:val="44EF15D0"/>
    <w:rsid w:val="453C0257"/>
    <w:rsid w:val="467E27C8"/>
    <w:rsid w:val="46CC56AF"/>
    <w:rsid w:val="47280A93"/>
    <w:rsid w:val="47B2035D"/>
    <w:rsid w:val="47F646ED"/>
    <w:rsid w:val="48EA7681"/>
    <w:rsid w:val="49211C3E"/>
    <w:rsid w:val="49262DB0"/>
    <w:rsid w:val="493B7A37"/>
    <w:rsid w:val="4AD31A2A"/>
    <w:rsid w:val="4C285091"/>
    <w:rsid w:val="4C2A3399"/>
    <w:rsid w:val="4C3B4DC5"/>
    <w:rsid w:val="4C447000"/>
    <w:rsid w:val="4CA566E2"/>
    <w:rsid w:val="4D616AAD"/>
    <w:rsid w:val="4D7762D0"/>
    <w:rsid w:val="4E0A0EF3"/>
    <w:rsid w:val="4E5008D0"/>
    <w:rsid w:val="4E981F82"/>
    <w:rsid w:val="4FAD5FDA"/>
    <w:rsid w:val="502D1032"/>
    <w:rsid w:val="51B727A0"/>
    <w:rsid w:val="51F24178"/>
    <w:rsid w:val="528D3EA0"/>
    <w:rsid w:val="53143970"/>
    <w:rsid w:val="5380765E"/>
    <w:rsid w:val="544E5B1C"/>
    <w:rsid w:val="54FC0D95"/>
    <w:rsid w:val="55713605"/>
    <w:rsid w:val="55FA3BB8"/>
    <w:rsid w:val="569B09FF"/>
    <w:rsid w:val="58024024"/>
    <w:rsid w:val="581754DA"/>
    <w:rsid w:val="58F22CAF"/>
    <w:rsid w:val="59457283"/>
    <w:rsid w:val="59CB4048"/>
    <w:rsid w:val="59E92304"/>
    <w:rsid w:val="5A2A4069"/>
    <w:rsid w:val="5A554608"/>
    <w:rsid w:val="5AD36B10"/>
    <w:rsid w:val="5AE605C6"/>
    <w:rsid w:val="5AE6233A"/>
    <w:rsid w:val="5B7E3F30"/>
    <w:rsid w:val="5BCA3B98"/>
    <w:rsid w:val="5C1A0915"/>
    <w:rsid w:val="5C8D2841"/>
    <w:rsid w:val="5D511016"/>
    <w:rsid w:val="5E192157"/>
    <w:rsid w:val="5E4A70E9"/>
    <w:rsid w:val="5E876448"/>
    <w:rsid w:val="5E8B3156"/>
    <w:rsid w:val="5EAC1B52"/>
    <w:rsid w:val="5F203623"/>
    <w:rsid w:val="5FB84B90"/>
    <w:rsid w:val="6014374B"/>
    <w:rsid w:val="605F5F70"/>
    <w:rsid w:val="60B721F1"/>
    <w:rsid w:val="61D70C94"/>
    <w:rsid w:val="622C5484"/>
    <w:rsid w:val="622E0E4B"/>
    <w:rsid w:val="63106A91"/>
    <w:rsid w:val="633A597E"/>
    <w:rsid w:val="640A35A3"/>
    <w:rsid w:val="643E324C"/>
    <w:rsid w:val="645F2839"/>
    <w:rsid w:val="64BB489D"/>
    <w:rsid w:val="64DB6CED"/>
    <w:rsid w:val="654F4FE5"/>
    <w:rsid w:val="673D77EB"/>
    <w:rsid w:val="67835D7C"/>
    <w:rsid w:val="67BA0E3C"/>
    <w:rsid w:val="68F760C0"/>
    <w:rsid w:val="691A728F"/>
    <w:rsid w:val="693410C2"/>
    <w:rsid w:val="693D399A"/>
    <w:rsid w:val="6A696B49"/>
    <w:rsid w:val="6B564A55"/>
    <w:rsid w:val="6BC20257"/>
    <w:rsid w:val="6C6C46CF"/>
    <w:rsid w:val="6C841A94"/>
    <w:rsid w:val="6D1E35CF"/>
    <w:rsid w:val="6D4B486C"/>
    <w:rsid w:val="6EC417C9"/>
    <w:rsid w:val="6F651DEE"/>
    <w:rsid w:val="6FCC3E02"/>
    <w:rsid w:val="70003AAC"/>
    <w:rsid w:val="721101F2"/>
    <w:rsid w:val="72190E55"/>
    <w:rsid w:val="73351F9A"/>
    <w:rsid w:val="743957DE"/>
    <w:rsid w:val="743B1556"/>
    <w:rsid w:val="744A1799"/>
    <w:rsid w:val="74EC0AA3"/>
    <w:rsid w:val="75BA7C0A"/>
    <w:rsid w:val="75D532E5"/>
    <w:rsid w:val="75D827AD"/>
    <w:rsid w:val="76504DA4"/>
    <w:rsid w:val="76823177"/>
    <w:rsid w:val="76A01C4E"/>
    <w:rsid w:val="773A5AF5"/>
    <w:rsid w:val="77764653"/>
    <w:rsid w:val="78A82F32"/>
    <w:rsid w:val="79110AD8"/>
    <w:rsid w:val="79E92B45"/>
    <w:rsid w:val="7AAC4E9F"/>
    <w:rsid w:val="7AF64429"/>
    <w:rsid w:val="7B0E5826"/>
    <w:rsid w:val="7B130B37"/>
    <w:rsid w:val="7B364826"/>
    <w:rsid w:val="7C8768B4"/>
    <w:rsid w:val="7CDC29D3"/>
    <w:rsid w:val="7DBF6D54"/>
    <w:rsid w:val="7DFC1D56"/>
    <w:rsid w:val="7F1C112C"/>
    <w:rsid w:val="7F8916DE"/>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qFormat="1"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szCs w:val="22"/>
      <w:lang w:val="en-US" w:eastAsia="zh-CN" w:bidi="ar-SA"/>
    </w:rPr>
  </w:style>
  <w:style w:type="paragraph" w:styleId="2">
    <w:name w:val="heading 1"/>
    <w:basedOn w:val="1"/>
    <w:next w:val="1"/>
    <w:qFormat/>
    <w:uiPriority w:val="0"/>
    <w:pPr>
      <w:keepNext/>
      <w:jc w:val="center"/>
      <w:outlineLvl w:val="0"/>
    </w:pPr>
    <w:rPr>
      <w:rFonts w:ascii="楷体_GB2312" w:eastAsia="楷体_GB2312"/>
      <w:b/>
      <w:sz w:val="28"/>
    </w:rPr>
  </w:style>
  <w:style w:type="paragraph" w:styleId="3">
    <w:name w:val="heading 2"/>
    <w:basedOn w:val="1"/>
    <w:next w:val="1"/>
    <w:link w:val="45"/>
    <w:qFormat/>
    <w:uiPriority w:val="0"/>
    <w:pPr>
      <w:keepNext/>
      <w:jc w:val="center"/>
      <w:outlineLvl w:val="1"/>
    </w:pPr>
    <w:rPr>
      <w:rFonts w:ascii="楷体_GB2312" w:eastAsia="楷体_GB2312"/>
      <w:b/>
      <w:bCs/>
      <w:sz w:val="18"/>
    </w:rPr>
  </w:style>
  <w:style w:type="paragraph" w:styleId="4">
    <w:name w:val="heading 3"/>
    <w:basedOn w:val="1"/>
    <w:next w:val="1"/>
    <w:link w:val="42"/>
    <w:unhideWhenUsed/>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43"/>
    <w:qFormat/>
    <w:uiPriority w:val="0"/>
    <w:pPr>
      <w:ind w:firstLine="420"/>
    </w:pPr>
    <w:rPr>
      <w:kern w:val="2"/>
      <w:sz w:val="21"/>
    </w:rPr>
  </w:style>
  <w:style w:type="paragraph" w:styleId="6">
    <w:name w:val="annotation text"/>
    <w:basedOn w:val="1"/>
    <w:link w:val="64"/>
    <w:qFormat/>
    <w:uiPriority w:val="0"/>
    <w:pPr>
      <w:jc w:val="left"/>
    </w:pPr>
    <w:rPr>
      <w:rFonts w:ascii="Calibri" w:hAnsi="Calibri"/>
      <w:kern w:val="2"/>
      <w:sz w:val="21"/>
      <w:szCs w:val="24"/>
    </w:rPr>
  </w:style>
  <w:style w:type="paragraph" w:styleId="7">
    <w:name w:val="Body Text 3"/>
    <w:basedOn w:val="1"/>
    <w:link w:val="41"/>
    <w:qFormat/>
    <w:uiPriority w:val="0"/>
    <w:pPr>
      <w:spacing w:after="120"/>
    </w:pPr>
    <w:rPr>
      <w:rFonts w:ascii="Times New Roman"/>
      <w:kern w:val="2"/>
      <w:sz w:val="16"/>
      <w:szCs w:val="16"/>
    </w:rPr>
  </w:style>
  <w:style w:type="paragraph" w:styleId="8">
    <w:name w:val="Body Text"/>
    <w:basedOn w:val="1"/>
    <w:next w:val="9"/>
    <w:qFormat/>
    <w:uiPriority w:val="0"/>
    <w:rPr>
      <w:rFonts w:ascii="华文中宋" w:eastAsia="华文中宋"/>
      <w:bCs/>
      <w:sz w:val="28"/>
    </w:rPr>
  </w:style>
  <w:style w:type="paragraph" w:styleId="9">
    <w:name w:val="Quote"/>
    <w:basedOn w:val="1"/>
    <w:next w:val="1"/>
    <w:qFormat/>
    <w:uiPriority w:val="0"/>
    <w:pPr>
      <w:widowControl/>
      <w:tabs>
        <w:tab w:val="left" w:pos="0"/>
      </w:tabs>
      <w:wordWrap w:val="0"/>
      <w:ind w:left="864" w:right="864"/>
      <w:jc w:val="center"/>
    </w:pPr>
    <w:rPr>
      <w:rFonts w:ascii="Times New Roman"/>
      <w:i/>
    </w:rPr>
  </w:style>
  <w:style w:type="paragraph" w:styleId="10">
    <w:name w:val="Body Text Indent"/>
    <w:basedOn w:val="1"/>
    <w:next w:val="1"/>
    <w:qFormat/>
    <w:uiPriority w:val="0"/>
    <w:pPr>
      <w:ind w:firstLine="576"/>
    </w:pPr>
    <w:rPr>
      <w:b/>
      <w:sz w:val="30"/>
    </w:rPr>
  </w:style>
  <w:style w:type="paragraph" w:styleId="11">
    <w:name w:val="toc 3"/>
    <w:basedOn w:val="1"/>
    <w:next w:val="1"/>
    <w:unhideWhenUsed/>
    <w:qFormat/>
    <w:uiPriority w:val="39"/>
    <w:pPr>
      <w:ind w:left="840" w:leftChars="400"/>
    </w:pPr>
  </w:style>
  <w:style w:type="paragraph" w:styleId="12">
    <w:name w:val="Plain Text"/>
    <w:basedOn w:val="1"/>
    <w:link w:val="53"/>
    <w:qFormat/>
    <w:uiPriority w:val="99"/>
    <w:rPr>
      <w:rFonts w:hAnsi="Courier New"/>
      <w:kern w:val="2"/>
      <w:szCs w:val="20"/>
    </w:rPr>
  </w:style>
  <w:style w:type="paragraph" w:styleId="13">
    <w:name w:val="Date"/>
    <w:basedOn w:val="1"/>
    <w:next w:val="1"/>
    <w:link w:val="56"/>
    <w:qFormat/>
    <w:uiPriority w:val="0"/>
    <w:pPr>
      <w:ind w:left="100" w:leftChars="2500"/>
    </w:pPr>
    <w:rPr>
      <w:rFonts w:ascii="Tahoma" w:hAnsi="Tahoma"/>
      <w:kern w:val="2"/>
      <w:sz w:val="21"/>
      <w:szCs w:val="24"/>
    </w:rPr>
  </w:style>
  <w:style w:type="paragraph" w:styleId="14">
    <w:name w:val="Body Text Indent 2"/>
    <w:basedOn w:val="1"/>
    <w:next w:val="1"/>
    <w:link w:val="44"/>
    <w:qFormat/>
    <w:uiPriority w:val="0"/>
    <w:pPr>
      <w:spacing w:after="120" w:line="480" w:lineRule="auto"/>
      <w:ind w:left="420" w:leftChars="200"/>
    </w:pPr>
    <w:rPr>
      <w:rFonts w:ascii="Times New Roman"/>
      <w:kern w:val="2"/>
      <w:sz w:val="21"/>
      <w:szCs w:val="24"/>
    </w:rPr>
  </w:style>
  <w:style w:type="paragraph" w:styleId="15">
    <w:name w:val="Balloon Text"/>
    <w:basedOn w:val="1"/>
    <w:link w:val="51"/>
    <w:qFormat/>
    <w:uiPriority w:val="0"/>
    <w:rPr>
      <w:rFonts w:ascii="Times New Roman"/>
      <w:kern w:val="2"/>
      <w:sz w:val="18"/>
      <w:szCs w:val="18"/>
    </w:rPr>
  </w:style>
  <w:style w:type="paragraph" w:styleId="16">
    <w:name w:val="footer"/>
    <w:basedOn w:val="1"/>
    <w:qFormat/>
    <w:uiPriority w:val="0"/>
    <w:pPr>
      <w:tabs>
        <w:tab w:val="center" w:pos="4153"/>
        <w:tab w:val="right" w:pos="8306"/>
      </w:tabs>
      <w:snapToGrid w:val="0"/>
      <w:jc w:val="left"/>
    </w:pPr>
    <w:rPr>
      <w:kern w:val="2"/>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39"/>
  </w:style>
  <w:style w:type="paragraph" w:styleId="19">
    <w:name w:val="toc 6"/>
    <w:basedOn w:val="1"/>
    <w:next w:val="1"/>
    <w:semiHidden/>
    <w:unhideWhenUsed/>
    <w:qFormat/>
    <w:uiPriority w:val="0"/>
    <w:pPr>
      <w:ind w:left="2100" w:leftChars="1000"/>
    </w:pPr>
  </w:style>
  <w:style w:type="paragraph" w:styleId="20">
    <w:name w:val="toc 2"/>
    <w:basedOn w:val="1"/>
    <w:next w:val="1"/>
    <w:qFormat/>
    <w:uiPriority w:val="39"/>
    <w:pPr>
      <w:ind w:left="200" w:leftChars="200"/>
    </w:pPr>
  </w:style>
  <w:style w:type="paragraph" w:styleId="21">
    <w:name w:val="Body Text 2"/>
    <w:basedOn w:val="1"/>
    <w:qFormat/>
    <w:uiPriority w:val="0"/>
    <w:pPr>
      <w:spacing w:after="120" w:line="480" w:lineRule="auto"/>
    </w:pPr>
  </w:style>
  <w:style w:type="paragraph" w:styleId="22">
    <w:name w:val="Normal (Web)"/>
    <w:basedOn w:val="1"/>
    <w:qFormat/>
    <w:uiPriority w:val="0"/>
    <w:pPr>
      <w:widowControl/>
      <w:spacing w:before="100" w:beforeAutospacing="1" w:after="100" w:afterAutospacing="1"/>
      <w:jc w:val="left"/>
    </w:pPr>
    <w:rPr>
      <w:rFonts w:hAnsi="宋体"/>
      <w:sz w:val="18"/>
      <w:szCs w:val="18"/>
    </w:rPr>
  </w:style>
  <w:style w:type="paragraph" w:styleId="23">
    <w:name w:val="Body Text First Indent 2"/>
    <w:basedOn w:val="10"/>
    <w:next w:val="1"/>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bCs/>
    </w:rPr>
  </w:style>
  <w:style w:type="character" w:styleId="28">
    <w:name w:val="FollowedHyperlink"/>
    <w:qFormat/>
    <w:uiPriority w:val="0"/>
    <w:rPr>
      <w:rFonts w:ascii="宋体"/>
      <w:color w:val="auto"/>
      <w:kern w:val="0"/>
      <w:sz w:val="28"/>
      <w:szCs w:val="28"/>
      <w:u w:val="none"/>
      <w:lang w:eastAsia="en-US"/>
    </w:rPr>
  </w:style>
  <w:style w:type="character" w:styleId="29">
    <w:name w:val="Emphasis"/>
    <w:basedOn w:val="26"/>
    <w:qFormat/>
    <w:uiPriority w:val="0"/>
    <w:rPr>
      <w:i/>
    </w:rPr>
  </w:style>
  <w:style w:type="character" w:styleId="30">
    <w:name w:val="Hyperlink"/>
    <w:basedOn w:val="26"/>
    <w:unhideWhenUsed/>
    <w:qFormat/>
    <w:uiPriority w:val="99"/>
    <w:rPr>
      <w:color w:val="0000FF" w:themeColor="hyperlink"/>
      <w:u w:val="single"/>
    </w:rPr>
  </w:style>
  <w:style w:type="character" w:styleId="31">
    <w:name w:val="annotation reference"/>
    <w:basedOn w:val="26"/>
    <w:semiHidden/>
    <w:unhideWhenUsed/>
    <w:qFormat/>
    <w:uiPriority w:val="0"/>
    <w:rPr>
      <w:sz w:val="21"/>
      <w:szCs w:val="21"/>
    </w:rPr>
  </w:style>
  <w:style w:type="paragraph" w:customStyle="1" w:styleId="32">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3">
    <w:name w:val="正文（缩进）"/>
    <w:basedOn w:val="1"/>
    <w:qFormat/>
    <w:uiPriority w:val="0"/>
    <w:pPr>
      <w:spacing w:before="156" w:after="156"/>
    </w:pPr>
  </w:style>
  <w:style w:type="paragraph" w:customStyle="1" w:styleId="34">
    <w:name w:val="样式1"/>
    <w:basedOn w:val="2"/>
    <w:qFormat/>
    <w:uiPriority w:val="0"/>
    <w:rPr>
      <w:sz w:val="48"/>
    </w:rPr>
  </w:style>
  <w:style w:type="paragraph" w:customStyle="1" w:styleId="35">
    <w:name w:val="正文首行缩进两字符"/>
    <w:basedOn w:val="1"/>
    <w:qFormat/>
    <w:uiPriority w:val="0"/>
    <w:pPr>
      <w:spacing w:line="360" w:lineRule="auto"/>
      <w:ind w:firstLine="200" w:firstLineChars="200"/>
    </w:pPr>
  </w:style>
  <w:style w:type="paragraph" w:customStyle="1" w:styleId="36">
    <w:name w:val="样式"/>
    <w:qFormat/>
    <w:uiPriority w:val="0"/>
    <w:pPr>
      <w:widowControl w:val="0"/>
      <w:autoSpaceDE w:val="0"/>
      <w:autoSpaceDN w:val="0"/>
      <w:adjustRightInd w:val="0"/>
    </w:pPr>
    <w:rPr>
      <w:rFonts w:ascii="宋体" w:hAnsi="Times New Roman" w:eastAsia="宋体" w:cs="Times New Roman"/>
      <w:sz w:val="24"/>
      <w:lang w:val="en-US" w:eastAsia="zh-CN" w:bidi="ar-SA"/>
    </w:rPr>
  </w:style>
  <w:style w:type="paragraph" w:customStyle="1" w:styleId="37">
    <w:name w:val="Normal1"/>
    <w:qFormat/>
    <w:uiPriority w:val="0"/>
    <w:pPr>
      <w:widowControl w:val="0"/>
      <w:adjustRightInd w:val="0"/>
      <w:spacing w:line="312" w:lineRule="atLeast"/>
      <w:jc w:val="both"/>
      <w:textAlignment w:val="baseline"/>
    </w:pPr>
    <w:rPr>
      <w:rFonts w:ascii="宋体" w:hAnsi="Times New Roman" w:eastAsia="宋体" w:cs="Times New Roman"/>
      <w:sz w:val="24"/>
      <w:szCs w:val="22"/>
      <w:lang w:val="en-US" w:eastAsia="zh-CN" w:bidi="ar-SA"/>
    </w:rPr>
  </w:style>
  <w:style w:type="paragraph" w:customStyle="1" w:styleId="38">
    <w:name w:val="reader-word-layer"/>
    <w:basedOn w:val="1"/>
    <w:qFormat/>
    <w:uiPriority w:val="0"/>
    <w:pPr>
      <w:widowControl/>
      <w:spacing w:beforeAutospacing="1" w:afterAutospacing="1"/>
      <w:jc w:val="left"/>
    </w:pPr>
    <w:rPr>
      <w:rFonts w:cs="宋体"/>
      <w:szCs w:val="24"/>
    </w:rPr>
  </w:style>
  <w:style w:type="paragraph" w:customStyle="1" w:styleId="39">
    <w:name w:val="表格"/>
    <w:basedOn w:val="1"/>
    <w:qFormat/>
    <w:uiPriority w:val="0"/>
    <w:pPr>
      <w:spacing w:line="360" w:lineRule="auto"/>
      <w:jc w:val="center"/>
    </w:pPr>
    <w:rPr>
      <w:szCs w:val="24"/>
    </w:rPr>
  </w:style>
  <w:style w:type="paragraph" w:styleId="40">
    <w:name w:val="List Paragraph"/>
    <w:basedOn w:val="1"/>
    <w:link w:val="46"/>
    <w:qFormat/>
    <w:uiPriority w:val="34"/>
    <w:pPr>
      <w:ind w:firstLine="420" w:firstLineChars="200"/>
    </w:pPr>
  </w:style>
  <w:style w:type="character" w:customStyle="1" w:styleId="41">
    <w:name w:val="正文文本 3 Char"/>
    <w:basedOn w:val="26"/>
    <w:link w:val="7"/>
    <w:qFormat/>
    <w:uiPriority w:val="0"/>
    <w:rPr>
      <w:kern w:val="2"/>
      <w:sz w:val="16"/>
      <w:szCs w:val="16"/>
    </w:rPr>
  </w:style>
  <w:style w:type="character" w:customStyle="1" w:styleId="42">
    <w:name w:val="标题 3 Char"/>
    <w:basedOn w:val="26"/>
    <w:link w:val="4"/>
    <w:semiHidden/>
    <w:qFormat/>
    <w:uiPriority w:val="0"/>
    <w:rPr>
      <w:rFonts w:ascii="宋体"/>
      <w:b/>
      <w:bCs/>
      <w:sz w:val="32"/>
      <w:szCs w:val="32"/>
    </w:rPr>
  </w:style>
  <w:style w:type="character" w:customStyle="1" w:styleId="43">
    <w:name w:val="正文缩进 Char"/>
    <w:link w:val="5"/>
    <w:qFormat/>
    <w:uiPriority w:val="0"/>
    <w:rPr>
      <w:rFonts w:ascii="宋体"/>
      <w:kern w:val="2"/>
      <w:sz w:val="21"/>
      <w:szCs w:val="22"/>
    </w:rPr>
  </w:style>
  <w:style w:type="character" w:customStyle="1" w:styleId="44">
    <w:name w:val="正文文本缩进 2 Char"/>
    <w:basedOn w:val="26"/>
    <w:link w:val="14"/>
    <w:qFormat/>
    <w:uiPriority w:val="0"/>
    <w:rPr>
      <w:kern w:val="2"/>
      <w:sz w:val="21"/>
      <w:szCs w:val="24"/>
    </w:rPr>
  </w:style>
  <w:style w:type="character" w:customStyle="1" w:styleId="45">
    <w:name w:val="标题 2 Char"/>
    <w:link w:val="3"/>
    <w:qFormat/>
    <w:uiPriority w:val="0"/>
    <w:rPr>
      <w:rFonts w:ascii="楷体_GB2312" w:eastAsia="楷体_GB2312"/>
      <w:b/>
      <w:bCs/>
      <w:sz w:val="18"/>
      <w:szCs w:val="22"/>
    </w:rPr>
  </w:style>
  <w:style w:type="character" w:customStyle="1" w:styleId="46">
    <w:name w:val="列出段落 Char"/>
    <w:link w:val="40"/>
    <w:qFormat/>
    <w:uiPriority w:val="34"/>
    <w:rPr>
      <w:rFonts w:ascii="宋体"/>
      <w:sz w:val="24"/>
      <w:szCs w:val="22"/>
    </w:rPr>
  </w:style>
  <w:style w:type="paragraph" w:customStyle="1" w:styleId="47">
    <w:name w:val="_Style 33"/>
    <w:basedOn w:val="1"/>
    <w:next w:val="40"/>
    <w:qFormat/>
    <w:uiPriority w:val="0"/>
    <w:pPr>
      <w:spacing w:line="300" w:lineRule="auto"/>
      <w:ind w:firstLine="420" w:firstLineChars="200"/>
    </w:pPr>
    <w:rPr>
      <w:rFonts w:ascii="Times New Roman"/>
      <w:kern w:val="24"/>
      <w:szCs w:val="20"/>
    </w:rPr>
  </w:style>
  <w:style w:type="paragraph" w:customStyle="1" w:styleId="48">
    <w:name w:val="方案正文"/>
    <w:basedOn w:val="1"/>
    <w:qFormat/>
    <w:uiPriority w:val="0"/>
    <w:pPr>
      <w:widowControl/>
      <w:ind w:firstLine="235" w:firstLineChars="235"/>
    </w:pPr>
    <w:rPr>
      <w:rFonts w:ascii="Arial" w:hAnsi="Arial"/>
      <w:sz w:val="21"/>
      <w:szCs w:val="24"/>
    </w:rPr>
  </w:style>
  <w:style w:type="paragraph" w:customStyle="1" w:styleId="49">
    <w:name w:val="样式 首行缩进:  2 字符"/>
    <w:basedOn w:val="1"/>
    <w:qFormat/>
    <w:uiPriority w:val="0"/>
    <w:pPr>
      <w:spacing w:line="400" w:lineRule="exact"/>
      <w:ind w:firstLine="200" w:firstLineChars="200"/>
    </w:pPr>
    <w:rPr>
      <w:rFonts w:ascii="Times New Roman" w:cs="宋体"/>
      <w:kern w:val="2"/>
      <w:szCs w:val="24"/>
    </w:rPr>
  </w:style>
  <w:style w:type="paragraph" w:customStyle="1" w:styleId="50">
    <w:name w:val="正文缩进2格"/>
    <w:basedOn w:val="1"/>
    <w:qFormat/>
    <w:uiPriority w:val="0"/>
    <w:pPr>
      <w:spacing w:line="600" w:lineRule="exact"/>
      <w:ind w:firstLine="206" w:firstLineChars="206"/>
    </w:pPr>
    <w:rPr>
      <w:rFonts w:ascii="仿宋_GB2312" w:eastAsia="仿宋_GB2312"/>
      <w:kern w:val="2"/>
      <w:sz w:val="31"/>
      <w:szCs w:val="20"/>
    </w:rPr>
  </w:style>
  <w:style w:type="character" w:customStyle="1" w:styleId="51">
    <w:name w:val="批注框文本 Char"/>
    <w:basedOn w:val="26"/>
    <w:link w:val="15"/>
    <w:qFormat/>
    <w:uiPriority w:val="0"/>
    <w:rPr>
      <w:kern w:val="2"/>
      <w:sz w:val="18"/>
      <w:szCs w:val="18"/>
    </w:rPr>
  </w:style>
  <w:style w:type="paragraph" w:customStyle="1" w:styleId="52">
    <w:name w:val="Heading2"/>
    <w:basedOn w:val="1"/>
    <w:next w:val="1"/>
    <w:qFormat/>
    <w:uiPriority w:val="0"/>
    <w:pPr>
      <w:keepNext/>
      <w:keepLines/>
      <w:spacing w:before="260" w:after="260" w:line="416" w:lineRule="auto"/>
    </w:pPr>
    <w:rPr>
      <w:rFonts w:ascii="Arial" w:hAnsi="Arial" w:eastAsia="黑体"/>
      <w:b/>
      <w:bCs/>
      <w:sz w:val="32"/>
      <w:szCs w:val="32"/>
    </w:rPr>
  </w:style>
  <w:style w:type="character" w:customStyle="1" w:styleId="53">
    <w:name w:val="纯文本 Char"/>
    <w:basedOn w:val="26"/>
    <w:link w:val="12"/>
    <w:qFormat/>
    <w:uiPriority w:val="0"/>
    <w:rPr>
      <w:rFonts w:ascii="宋体" w:hAnsi="Courier New"/>
      <w:kern w:val="2"/>
      <w:sz w:val="24"/>
    </w:rPr>
  </w:style>
  <w:style w:type="character" w:customStyle="1" w:styleId="54">
    <w:name w:val="font41"/>
    <w:basedOn w:val="26"/>
    <w:qFormat/>
    <w:uiPriority w:val="0"/>
    <w:rPr>
      <w:rFonts w:hint="eastAsia" w:ascii="宋体" w:hAnsi="宋体" w:eastAsia="宋体" w:cs="宋体"/>
      <w:color w:val="000000"/>
      <w:sz w:val="24"/>
      <w:szCs w:val="24"/>
      <w:u w:val="none"/>
    </w:rPr>
  </w:style>
  <w:style w:type="paragraph" w:customStyle="1" w:styleId="55">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 w:type="character" w:customStyle="1" w:styleId="56">
    <w:name w:val="日期 Char"/>
    <w:basedOn w:val="26"/>
    <w:link w:val="13"/>
    <w:qFormat/>
    <w:uiPriority w:val="0"/>
    <w:rPr>
      <w:rFonts w:ascii="Tahoma" w:hAnsi="Tahoma"/>
      <w:kern w:val="2"/>
      <w:sz w:val="21"/>
      <w:szCs w:val="24"/>
    </w:rPr>
  </w:style>
  <w:style w:type="paragraph" w:customStyle="1" w:styleId="57">
    <w:name w:val="Other|1"/>
    <w:basedOn w:val="1"/>
    <w:qFormat/>
    <w:uiPriority w:val="0"/>
    <w:pPr>
      <w:jc w:val="center"/>
    </w:pPr>
    <w:rPr>
      <w:rFonts w:hAnsi="宋体" w:cs="宋体"/>
      <w:sz w:val="19"/>
      <w:szCs w:val="19"/>
      <w:lang w:val="zh-TW" w:eastAsia="zh-TW" w:bidi="zh-TW"/>
    </w:rPr>
  </w:style>
  <w:style w:type="paragraph" w:customStyle="1" w:styleId="58">
    <w:name w:val="p0"/>
    <w:basedOn w:val="1"/>
    <w:qFormat/>
    <w:uiPriority w:val="0"/>
    <w:rPr>
      <w:rFonts w:ascii="Calibri" w:hAnsi="Calibri"/>
      <w:sz w:val="21"/>
      <w:szCs w:val="21"/>
    </w:rPr>
  </w:style>
  <w:style w:type="paragraph" w:customStyle="1" w:styleId="59">
    <w:name w:val="TOC 标题1"/>
    <w:basedOn w:val="2"/>
    <w:next w:val="1"/>
    <w:unhideWhenUsed/>
    <w:qFormat/>
    <w:uiPriority w:val="39"/>
    <w:pPr>
      <w:keepLines/>
      <w:widowControl/>
      <w:spacing w:before="240" w:line="259" w:lineRule="auto"/>
      <w:jc w:val="left"/>
      <w:outlineLvl w:val="9"/>
    </w:pPr>
    <w:rPr>
      <w:rFonts w:asciiTheme="majorHAnsi" w:hAnsiTheme="majorHAnsi" w:eastAsiaTheme="majorEastAsia" w:cstheme="majorBidi"/>
      <w:b w:val="0"/>
      <w:color w:val="366091" w:themeColor="accent1" w:themeShade="BF"/>
      <w:sz w:val="32"/>
      <w:szCs w:val="32"/>
    </w:rPr>
  </w:style>
  <w:style w:type="paragraph" w:customStyle="1" w:styleId="60">
    <w:name w:val="15、“一、”二级标题"/>
    <w:basedOn w:val="1"/>
    <w:qFormat/>
    <w:uiPriority w:val="0"/>
    <w:pPr>
      <w:numPr>
        <w:ilvl w:val="1"/>
        <w:numId w:val="1"/>
      </w:numPr>
      <w:tabs>
        <w:tab w:val="left" w:pos="0"/>
      </w:tabs>
      <w:wordWrap w:val="0"/>
      <w:topLinePunct/>
      <w:adjustRightInd w:val="0"/>
      <w:snapToGrid w:val="0"/>
      <w:spacing w:line="440" w:lineRule="exact"/>
      <w:jc w:val="left"/>
      <w:outlineLvl w:val="1"/>
    </w:pPr>
    <w:rPr>
      <w:rFonts w:hAnsi="宋体"/>
      <w:b/>
      <w:kern w:val="2"/>
      <w:szCs w:val="24"/>
    </w:rPr>
  </w:style>
  <w:style w:type="paragraph" w:customStyle="1" w:styleId="61">
    <w:name w:val="01、普通正文"/>
    <w:basedOn w:val="1"/>
    <w:next w:val="19"/>
    <w:qFormat/>
    <w:uiPriority w:val="0"/>
    <w:pPr>
      <w:tabs>
        <w:tab w:val="left" w:pos="0"/>
      </w:tabs>
      <w:wordWrap w:val="0"/>
      <w:topLinePunct/>
      <w:adjustRightInd w:val="0"/>
      <w:snapToGrid w:val="0"/>
      <w:spacing w:line="440" w:lineRule="exact"/>
      <w:jc w:val="left"/>
    </w:pPr>
    <w:rPr>
      <w:rFonts w:hAnsi="宋体"/>
      <w:snapToGrid w:val="0"/>
      <w:kern w:val="2"/>
      <w:szCs w:val="24"/>
    </w:rPr>
  </w:style>
  <w:style w:type="character" w:customStyle="1" w:styleId="62">
    <w:name w:val="font31"/>
    <w:basedOn w:val="26"/>
    <w:qFormat/>
    <w:uiPriority w:val="0"/>
    <w:rPr>
      <w:rFonts w:hint="eastAsia" w:ascii="宋体" w:hAnsi="宋体" w:eastAsia="宋体" w:cs="宋体"/>
      <w:color w:val="000000"/>
      <w:sz w:val="18"/>
      <w:szCs w:val="18"/>
      <w:u w:val="none"/>
    </w:rPr>
  </w:style>
  <w:style w:type="character" w:customStyle="1" w:styleId="63">
    <w:name w:val="font11"/>
    <w:basedOn w:val="26"/>
    <w:qFormat/>
    <w:uiPriority w:val="0"/>
    <w:rPr>
      <w:rFonts w:hint="eastAsia" w:ascii="宋体" w:hAnsi="宋体" w:eastAsia="宋体" w:cs="宋体"/>
      <w:color w:val="FF0000"/>
      <w:sz w:val="18"/>
      <w:szCs w:val="18"/>
      <w:u w:val="none"/>
    </w:rPr>
  </w:style>
  <w:style w:type="character" w:customStyle="1" w:styleId="64">
    <w:name w:val="批注文字 Char"/>
    <w:basedOn w:val="26"/>
    <w:link w:val="6"/>
    <w:qFormat/>
    <w:uiPriority w:val="0"/>
    <w:rPr>
      <w:rFonts w:ascii="Calibri" w:hAnsi="Calibri"/>
      <w:kern w:val="2"/>
      <w:sz w:val="21"/>
      <w:szCs w:val="24"/>
    </w:rPr>
  </w:style>
  <w:style w:type="character" w:customStyle="1" w:styleId="65">
    <w:name w:val="font71"/>
    <w:basedOn w:val="26"/>
    <w:qFormat/>
    <w:uiPriority w:val="0"/>
    <w:rPr>
      <w:rFonts w:hint="eastAsia" w:ascii="微软雅黑" w:hAnsi="微软雅黑" w:eastAsia="微软雅黑" w:cs="微软雅黑"/>
      <w:b/>
      <w:bCs/>
      <w:color w:val="000000"/>
      <w:sz w:val="18"/>
      <w:szCs w:val="18"/>
      <w:u w:val="none"/>
    </w:rPr>
  </w:style>
  <w:style w:type="character" w:customStyle="1" w:styleId="66">
    <w:name w:val="font61"/>
    <w:basedOn w:val="26"/>
    <w:qFormat/>
    <w:uiPriority w:val="0"/>
    <w:rPr>
      <w:rFonts w:hint="eastAsia" w:ascii="微软雅黑" w:hAnsi="微软雅黑" w:eastAsia="微软雅黑" w:cs="微软雅黑"/>
      <w:color w:val="000000"/>
      <w:sz w:val="18"/>
      <w:szCs w:val="18"/>
      <w:u w:val="none"/>
    </w:rPr>
  </w:style>
  <w:style w:type="paragraph" w:customStyle="1" w:styleId="67">
    <w:name w:val="目录 81"/>
    <w:basedOn w:val="1"/>
    <w:next w:val="1"/>
    <w:qFormat/>
    <w:uiPriority w:val="99"/>
    <w:pPr>
      <w:ind w:left="2940"/>
    </w:pPr>
    <w:rPr>
      <w:rFonts w:ascii="Calibri"/>
      <w:sz w:val="21"/>
    </w:rPr>
  </w:style>
  <w:style w:type="character" w:customStyle="1" w:styleId="68">
    <w:name w:val="NormalCharacter"/>
    <w:qFormat/>
    <w:uiPriority w:val="0"/>
  </w:style>
  <w:style w:type="paragraph" w:customStyle="1" w:styleId="6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583CF-7ED8-476B-B10A-4DC68D1334F5}">
  <ds:schemaRefs/>
</ds:datastoreItem>
</file>

<file path=docProps/app.xml><?xml version="1.0" encoding="utf-8"?>
<Properties xmlns="http://schemas.openxmlformats.org/officeDocument/2006/extended-properties" xmlns:vt="http://schemas.openxmlformats.org/officeDocument/2006/docPropsVTypes">
  <Template>Normal</Template>
  <Pages>69</Pages>
  <Words>31559</Words>
  <Characters>32483</Characters>
  <Lines>286</Lines>
  <Paragraphs>80</Paragraphs>
  <TotalTime>1</TotalTime>
  <ScaleCrop>false</ScaleCrop>
  <LinksUpToDate>false</LinksUpToDate>
  <CharactersWithSpaces>35353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2024-07-11T06:33:00Z</dcterms:created>
  <dc:creator>18181761860</dc:creator>
  <cp:lastModifiedBy>滋罕氛该脱</cp:lastModifiedBy>
  <cp:lastPrinted>2022-12-02T09:45:00Z</cp:lastPrinted>
  <dcterms:modified xsi:type="dcterms:W3CDTF">2024-07-15T04:19:03Z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9391E474D2124E638FCCD40F0E8120EF_13</vt:lpwstr>
  </property>
</Properties>
</file>